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0F" w:rsidRDefault="00265C89" w:rsidP="000E4F6C">
      <w:pPr>
        <w:pStyle w:val="a"/>
        <w:spacing w:after="312"/>
        <w:ind w:firstLine="480"/>
      </w:pPr>
      <w:r>
        <w:t>《</w:t>
      </w:r>
      <w:r>
        <w:rPr>
          <w:rFonts w:hint="eastAsia"/>
        </w:rPr>
        <w:t>工程合同管理</w:t>
      </w:r>
      <w:r>
        <w:t>》</w:t>
      </w:r>
      <w:r w:rsidR="000E4F6C" w:rsidRPr="000E4F6C">
        <w:t>课程教学大纲</w:t>
      </w:r>
      <w:r w:rsidR="000E4F6C" w:rsidRPr="000E4F6C">
        <w:rPr>
          <w:rFonts w:hint="eastAsia"/>
        </w:rPr>
        <w:t>（</w:t>
      </w:r>
      <w:r w:rsidR="000E4F6C" w:rsidRPr="000E4F6C">
        <w:rPr>
          <w:rFonts w:hint="eastAsia"/>
        </w:rPr>
        <w:t>20</w:t>
      </w:r>
      <w:r w:rsidR="000E4F6C">
        <w:t>19</w:t>
      </w:r>
      <w:r w:rsidR="000E4F6C" w:rsidRPr="000E4F6C">
        <w:rPr>
          <w:rFonts w:hint="eastAsia"/>
        </w:rPr>
        <w:t>版）</w:t>
      </w:r>
    </w:p>
    <w:p w:rsidR="000E4F6C" w:rsidRPr="000E4F6C" w:rsidRDefault="000E4F6C" w:rsidP="000E4F6C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E4F6C">
        <w:rPr>
          <w:rFonts w:ascii="Times New Roman" w:eastAsia="黑体" w:hAnsi="Times New Roman" w:hint="eastAsia"/>
          <w:kern w:val="44"/>
          <w:sz w:val="24"/>
          <w:szCs w:val="44"/>
        </w:rPr>
        <w:t>一、</w:t>
      </w:r>
      <w:r w:rsidRPr="000E4F6C">
        <w:rPr>
          <w:rFonts w:ascii="Times New Roman" w:eastAsia="黑体" w:hAnsi="Times New Roman"/>
          <w:kern w:val="44"/>
          <w:sz w:val="24"/>
          <w:szCs w:val="44"/>
        </w:rPr>
        <w:t>课程</w:t>
      </w:r>
      <w:r w:rsidRPr="000E4F6C">
        <w:rPr>
          <w:rFonts w:ascii="Times New Roman" w:eastAsia="黑体" w:hAnsi="Times New Roman" w:hint="eastAsia"/>
          <w:kern w:val="44"/>
          <w:sz w:val="24"/>
          <w:szCs w:val="44"/>
        </w:rPr>
        <w:t>信息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课程名称：</w:t>
      </w:r>
      <w:r w:rsidRPr="000E4F6C">
        <w:rPr>
          <w:rFonts w:ascii="仿宋" w:eastAsia="仿宋" w:hAnsi="仿宋" w:hint="eastAsia"/>
          <w:sz w:val="24"/>
          <w:szCs w:val="24"/>
        </w:rPr>
        <w:t>工程合同管理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 w:rsidRPr="000E4F6C">
        <w:rPr>
          <w:rFonts w:ascii="Times New Roman" w:eastAsia="仿宋" w:hAnsi="Times New Roman"/>
          <w:sz w:val="24"/>
          <w:szCs w:val="24"/>
        </w:rPr>
        <w:t xml:space="preserve">Construction Agreement Management 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课程代码：</w:t>
      </w:r>
      <w:r w:rsidR="00877CAD" w:rsidRPr="00877CAD">
        <w:rPr>
          <w:rFonts w:ascii="Times New Roman" w:eastAsia="仿宋" w:hAnsi="Times New Roman"/>
          <w:sz w:val="24"/>
          <w:szCs w:val="24"/>
        </w:rPr>
        <w:t>09911132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课程类别</w:t>
      </w:r>
      <w:r w:rsidRPr="000E4F6C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工程</w:t>
      </w:r>
      <w:r w:rsidRPr="000E4F6C">
        <w:rPr>
          <w:rFonts w:ascii="仿宋" w:eastAsia="仿宋" w:hAnsi="仿宋" w:hint="eastAsia"/>
          <w:sz w:val="24"/>
          <w:szCs w:val="24"/>
        </w:rPr>
        <w:t>基础类/专业</w:t>
      </w:r>
      <w:r>
        <w:rPr>
          <w:rFonts w:ascii="仿宋" w:eastAsia="仿宋" w:hAnsi="仿宋" w:hint="eastAsia"/>
          <w:sz w:val="24"/>
          <w:szCs w:val="24"/>
        </w:rPr>
        <w:t>任选</w:t>
      </w:r>
      <w:r w:rsidRPr="000E4F6C">
        <w:rPr>
          <w:rFonts w:ascii="仿宋" w:eastAsia="仿宋" w:hAnsi="仿宋" w:hint="eastAsia"/>
          <w:sz w:val="24"/>
          <w:szCs w:val="24"/>
        </w:rPr>
        <w:t>课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适用专业</w:t>
      </w:r>
      <w:r w:rsidRPr="000E4F6C">
        <w:rPr>
          <w:rFonts w:ascii="仿宋" w:eastAsia="仿宋" w:hAnsi="仿宋" w:hint="eastAsia"/>
          <w:sz w:val="24"/>
          <w:szCs w:val="24"/>
        </w:rPr>
        <w:t>：土木工程专业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课程学时</w:t>
      </w:r>
      <w:r w:rsidRPr="000E4F6C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36</w:t>
      </w:r>
      <w:r w:rsidRPr="000E4F6C">
        <w:rPr>
          <w:rFonts w:ascii="仿宋" w:eastAsia="仿宋" w:hAnsi="仿宋" w:hint="eastAsia"/>
          <w:sz w:val="24"/>
          <w:szCs w:val="24"/>
        </w:rPr>
        <w:t>学时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课程学分</w:t>
      </w:r>
      <w:r w:rsidRPr="000E4F6C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1.5</w:t>
      </w:r>
      <w:r w:rsidRPr="000E4F6C">
        <w:rPr>
          <w:rFonts w:ascii="仿宋" w:eastAsia="仿宋" w:hAnsi="仿宋" w:hint="eastAsia"/>
          <w:sz w:val="24"/>
          <w:szCs w:val="24"/>
        </w:rPr>
        <w:t>学分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修读学期：</w:t>
      </w:r>
      <w:r w:rsidRPr="000E4F6C">
        <w:rPr>
          <w:rFonts w:ascii="仿宋" w:eastAsia="仿宋" w:hAnsi="仿宋" w:hint="eastAsia"/>
          <w:sz w:val="24"/>
          <w:szCs w:val="24"/>
        </w:rPr>
        <w:t>第</w:t>
      </w:r>
      <w:r>
        <w:rPr>
          <w:rFonts w:ascii="Times New Roman" w:eastAsia="仿宋" w:hAnsi="Times New Roman"/>
          <w:sz w:val="24"/>
          <w:szCs w:val="24"/>
        </w:rPr>
        <w:t>7</w:t>
      </w:r>
      <w:r w:rsidRPr="000E4F6C">
        <w:rPr>
          <w:rFonts w:ascii="仿宋" w:eastAsia="仿宋" w:hAnsi="仿宋" w:hint="eastAsia"/>
          <w:sz w:val="24"/>
          <w:szCs w:val="24"/>
        </w:rPr>
        <w:t>学期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0E4F6C">
        <w:rPr>
          <w:rFonts w:ascii="仿宋" w:eastAsia="仿宋" w:hAnsi="仿宋" w:hint="eastAsia"/>
          <w:b/>
          <w:sz w:val="24"/>
          <w:szCs w:val="24"/>
        </w:rPr>
        <w:t>先修课程</w:t>
      </w:r>
      <w:r w:rsidRPr="000E4F6C">
        <w:rPr>
          <w:rFonts w:ascii="仿宋" w:eastAsia="仿宋" w:hAnsi="仿宋" w:hint="eastAsia"/>
          <w:sz w:val="24"/>
          <w:szCs w:val="24"/>
        </w:rPr>
        <w:t>：</w:t>
      </w:r>
      <w:r w:rsidRPr="000E4F6C">
        <w:rPr>
          <w:rFonts w:ascii="Times New Roman" w:eastAsia="仿宋" w:hAnsi="Times New Roman" w:hint="eastAsia"/>
          <w:sz w:val="24"/>
          <w:szCs w:val="24"/>
        </w:rPr>
        <w:t>思想道德修养与法律基础、工程项目管理、</w:t>
      </w:r>
      <w:r>
        <w:rPr>
          <w:rFonts w:ascii="Times New Roman" w:eastAsia="仿宋" w:hAnsi="Times New Roman" w:hint="eastAsia"/>
          <w:sz w:val="24"/>
          <w:szCs w:val="24"/>
        </w:rPr>
        <w:t>工程经济学</w:t>
      </w:r>
    </w:p>
    <w:p w:rsidR="000E4F6C" w:rsidRPr="000E4F6C" w:rsidRDefault="000E4F6C" w:rsidP="000E4F6C">
      <w:pPr>
        <w:keepNext/>
        <w:keepLines/>
        <w:spacing w:beforeLines="50" w:before="156" w:afterLines="50" w:after="156"/>
        <w:ind w:leftChars="200" w:left="420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0E4F6C">
        <w:rPr>
          <w:rFonts w:ascii="Times New Roman" w:eastAsia="仿宋" w:hAnsi="Times New Roman" w:hint="eastAsia"/>
          <w:b/>
          <w:kern w:val="44"/>
          <w:sz w:val="24"/>
          <w:szCs w:val="32"/>
        </w:rPr>
        <w:t>（一）</w:t>
      </w:r>
      <w:r w:rsidRPr="000E4F6C">
        <w:rPr>
          <w:rFonts w:ascii="Times New Roman" w:eastAsia="仿宋" w:hAnsi="Times New Roman"/>
          <w:b/>
          <w:kern w:val="44"/>
          <w:sz w:val="24"/>
          <w:szCs w:val="32"/>
        </w:rPr>
        <w:t>课程教学目标</w:t>
      </w:r>
    </w:p>
    <w:p w:rsidR="000E4F6C" w:rsidRPr="000E4F6C" w:rsidRDefault="000E4F6C" w:rsidP="000E4F6C">
      <w:pPr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E4F6C">
        <w:rPr>
          <w:rFonts w:ascii="Times New Roman" w:eastAsia="仿宋" w:hAnsi="Times New Roman" w:hint="eastAsia"/>
          <w:iCs/>
          <w:sz w:val="24"/>
          <w:szCs w:val="24"/>
        </w:rPr>
        <w:t>通过课程的学习，使学生达到以下目标：</w:t>
      </w:r>
    </w:p>
    <w:p w:rsidR="000E4F6C" w:rsidRPr="000E4F6C" w:rsidRDefault="000E4F6C" w:rsidP="000E4F6C">
      <w:pPr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E4F6C">
        <w:rPr>
          <w:rFonts w:ascii="Times New Roman" w:eastAsia="仿宋" w:hAnsi="Times New Roman" w:hint="eastAsia"/>
          <w:iCs/>
          <w:sz w:val="24"/>
          <w:szCs w:val="24"/>
        </w:rPr>
        <w:t>目标</w:t>
      </w:r>
      <w:r w:rsidRPr="000E4F6C">
        <w:rPr>
          <w:rFonts w:ascii="Times New Roman" w:eastAsia="仿宋" w:hAnsi="Times New Roman"/>
          <w:iCs/>
          <w:sz w:val="24"/>
          <w:szCs w:val="24"/>
        </w:rPr>
        <w:t xml:space="preserve">1. </w:t>
      </w:r>
      <w:r w:rsidR="006753AB" w:rsidRPr="006753AB">
        <w:rPr>
          <w:rFonts w:ascii="Times New Roman" w:eastAsia="仿宋" w:hAnsi="Times New Roman" w:hint="eastAsia"/>
          <w:iCs/>
          <w:sz w:val="24"/>
          <w:szCs w:val="24"/>
        </w:rPr>
        <w:t>能够在项目招投标、合同签订、履行监控、变更管理、索赔处理及结算审计等各个关键阶段中，精准识别潜在风险、有效协调各方、指挥团队</w:t>
      </w:r>
      <w:r w:rsidR="00E55AFC">
        <w:rPr>
          <w:rFonts w:ascii="Times New Roman" w:eastAsia="仿宋" w:hAnsi="Times New Roman" w:hint="eastAsia"/>
          <w:iCs/>
          <w:sz w:val="24"/>
          <w:szCs w:val="24"/>
        </w:rPr>
        <w:t>开展工作</w:t>
      </w:r>
      <w:r w:rsidR="006753AB" w:rsidRPr="006753AB">
        <w:rPr>
          <w:rFonts w:ascii="Times New Roman" w:eastAsia="仿宋" w:hAnsi="Times New Roman" w:hint="eastAsia"/>
          <w:iCs/>
          <w:sz w:val="24"/>
          <w:szCs w:val="24"/>
        </w:rPr>
        <w:t>。【支撑毕业要求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9.3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】</w:t>
      </w:r>
    </w:p>
    <w:p w:rsidR="000E4F6C" w:rsidRPr="000E4F6C" w:rsidRDefault="000E4F6C" w:rsidP="000E4F6C">
      <w:pPr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E4F6C">
        <w:rPr>
          <w:rFonts w:ascii="Times New Roman" w:eastAsia="仿宋" w:hAnsi="Times New Roman" w:hint="eastAsia"/>
          <w:iCs/>
          <w:sz w:val="24"/>
          <w:szCs w:val="24"/>
        </w:rPr>
        <w:t>目标</w:t>
      </w:r>
      <w:r w:rsidRPr="000E4F6C">
        <w:rPr>
          <w:rFonts w:ascii="Times New Roman" w:eastAsia="仿宋" w:hAnsi="Times New Roman"/>
          <w:iCs/>
          <w:sz w:val="24"/>
          <w:szCs w:val="24"/>
        </w:rPr>
        <w:t xml:space="preserve">2. </w:t>
      </w:r>
      <w:r w:rsidR="006753AB" w:rsidRPr="006753AB">
        <w:rPr>
          <w:rFonts w:ascii="Times New Roman" w:eastAsia="仿宋" w:hAnsi="Times New Roman" w:hint="eastAsia"/>
          <w:iCs/>
          <w:sz w:val="24"/>
          <w:szCs w:val="24"/>
        </w:rPr>
        <w:t>能够在合同策划与订立、履行与监控、变更与索赔、争议解决等关键环节，根据管理和经济学理论、依据行业规范、做出正确决策。【支撑毕业要求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11.1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】</w:t>
      </w:r>
    </w:p>
    <w:p w:rsidR="000E4F6C" w:rsidRPr="000E4F6C" w:rsidRDefault="000E4F6C" w:rsidP="000E4F6C">
      <w:pPr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0E4F6C">
        <w:rPr>
          <w:rFonts w:ascii="Times New Roman" w:eastAsia="仿宋" w:hAnsi="Times New Roman" w:hint="eastAsia"/>
          <w:iCs/>
          <w:sz w:val="24"/>
          <w:szCs w:val="24"/>
        </w:rPr>
        <w:t>目标</w:t>
      </w:r>
      <w:r w:rsidRPr="000E4F6C">
        <w:rPr>
          <w:rFonts w:ascii="Times New Roman" w:eastAsia="仿宋" w:hAnsi="Times New Roman"/>
          <w:iCs/>
          <w:sz w:val="24"/>
          <w:szCs w:val="24"/>
        </w:rPr>
        <w:t>3.</w:t>
      </w:r>
      <w:r w:rsidR="007C371F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能够在合同风险分配、履约过程监控、重大变更处理及索赔与反索赔等关键领域，精准</w:t>
      </w:r>
      <w:proofErr w:type="gramStart"/>
      <w:r w:rsidR="006753AB" w:rsidRPr="006753AB">
        <w:rPr>
          <w:rFonts w:ascii="Times New Roman" w:eastAsia="仿宋" w:hAnsi="Times New Roman"/>
          <w:iCs/>
          <w:sz w:val="24"/>
          <w:szCs w:val="24"/>
        </w:rPr>
        <w:t>研</w:t>
      </w:r>
      <w:proofErr w:type="gramEnd"/>
      <w:r w:rsidR="006753AB" w:rsidRPr="006753AB">
        <w:rPr>
          <w:rFonts w:ascii="Times New Roman" w:eastAsia="仿宋" w:hAnsi="Times New Roman"/>
          <w:iCs/>
          <w:sz w:val="24"/>
          <w:szCs w:val="24"/>
        </w:rPr>
        <w:t>判、高效协调与谈判，制定并执行兼具合规性、前瞻性与经济效益的合同策略。【支撑毕业要求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11.3</w:t>
      </w:r>
      <w:r w:rsidR="006753AB" w:rsidRPr="006753AB">
        <w:rPr>
          <w:rFonts w:ascii="Times New Roman" w:eastAsia="仿宋" w:hAnsi="Times New Roman"/>
          <w:iCs/>
          <w:sz w:val="24"/>
          <w:szCs w:val="24"/>
        </w:rPr>
        <w:t>】</w:t>
      </w:r>
    </w:p>
    <w:p w:rsidR="000E4F6C" w:rsidRPr="000E4F6C" w:rsidRDefault="000E4F6C" w:rsidP="000E4F6C">
      <w:pPr>
        <w:keepNext/>
        <w:keepLines/>
        <w:numPr>
          <w:ilvl w:val="2"/>
          <w:numId w:val="0"/>
        </w:numPr>
        <w:spacing w:beforeLines="50" w:before="156" w:afterLines="50" w:after="156"/>
        <w:ind w:leftChars="200" w:left="420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0E4F6C">
        <w:rPr>
          <w:rFonts w:ascii="Times New Roman" w:eastAsia="仿宋" w:hAnsi="Times New Roman" w:hint="eastAsia"/>
          <w:b/>
          <w:kern w:val="44"/>
          <w:sz w:val="24"/>
          <w:szCs w:val="32"/>
        </w:rPr>
        <w:t>（二）课程目标与毕业要求的对应关系</w:t>
      </w:r>
    </w:p>
    <w:p w:rsidR="000E4F6C" w:rsidRPr="000E4F6C" w:rsidRDefault="000E4F6C" w:rsidP="000E4F6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0E4F6C">
        <w:rPr>
          <w:rFonts w:ascii="Times New Roman" w:eastAsia="楷体" w:hAnsi="Times New Roman"/>
          <w:b/>
          <w:sz w:val="24"/>
          <w:szCs w:val="24"/>
        </w:rPr>
        <w:t>表</w:t>
      </w:r>
      <w:r w:rsidRPr="000E4F6C">
        <w:rPr>
          <w:rFonts w:ascii="Times New Roman" w:eastAsia="楷体" w:hAnsi="Times New Roman"/>
          <w:b/>
          <w:sz w:val="24"/>
          <w:szCs w:val="24"/>
        </w:rPr>
        <w:t xml:space="preserve">1 </w:t>
      </w:r>
      <w:r w:rsidRPr="000E4F6C">
        <w:rPr>
          <w:rFonts w:ascii="Times New Roman" w:eastAsia="楷体" w:hAnsi="Times New Roman"/>
          <w:b/>
          <w:sz w:val="24"/>
          <w:szCs w:val="24"/>
        </w:rPr>
        <w:t>课程目标与毕业要求的对应关系</w:t>
      </w:r>
    </w:p>
    <w:tbl>
      <w:tblPr>
        <w:tblStyle w:val="afc"/>
        <w:tblW w:w="4998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575"/>
        <w:gridCol w:w="489"/>
        <w:gridCol w:w="489"/>
        <w:gridCol w:w="464"/>
      </w:tblGrid>
      <w:tr w:rsidR="000E4F6C" w:rsidRPr="000E4F6C" w:rsidTr="0021794C">
        <w:tc>
          <w:tcPr>
            <w:tcW w:w="769" w:type="pct"/>
            <w:vMerge w:val="restart"/>
            <w:vAlign w:val="center"/>
          </w:tcPr>
          <w:p w:rsidR="000E4F6C" w:rsidRPr="000E4F6C" w:rsidRDefault="000E4F6C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E4F6C">
              <w:rPr>
                <w:rFonts w:ascii="Times New Roman" w:eastAsia="楷体" w:hAnsi="Times New Roman"/>
                <w:b/>
                <w:sz w:val="18"/>
                <w:szCs w:val="18"/>
              </w:rPr>
              <w:t>毕业要求</w:t>
            </w:r>
          </w:p>
        </w:tc>
        <w:tc>
          <w:tcPr>
            <w:tcW w:w="3361" w:type="pct"/>
            <w:vMerge w:val="restart"/>
            <w:vAlign w:val="center"/>
          </w:tcPr>
          <w:p w:rsidR="000E4F6C" w:rsidRPr="000E4F6C" w:rsidRDefault="000E4F6C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0E4F6C">
              <w:rPr>
                <w:rFonts w:ascii="Times New Roman" w:eastAsia="楷体" w:hAnsi="Times New Roman"/>
                <w:b/>
                <w:sz w:val="18"/>
                <w:szCs w:val="18"/>
              </w:rPr>
              <w:t>毕业要求指标点</w:t>
            </w:r>
          </w:p>
        </w:tc>
        <w:tc>
          <w:tcPr>
            <w:tcW w:w="869" w:type="pct"/>
            <w:gridSpan w:val="3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 w:rsidRPr="000E4F6C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课程目标</w:t>
            </w:r>
          </w:p>
        </w:tc>
      </w:tr>
      <w:tr w:rsidR="000E4F6C" w:rsidRPr="000E4F6C" w:rsidTr="0021794C">
        <w:tc>
          <w:tcPr>
            <w:tcW w:w="769" w:type="pct"/>
            <w:vMerge/>
            <w:vAlign w:val="center"/>
          </w:tcPr>
          <w:p w:rsidR="000E4F6C" w:rsidRPr="000E4F6C" w:rsidRDefault="000E4F6C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3361" w:type="pct"/>
            <w:vMerge/>
            <w:vAlign w:val="center"/>
          </w:tcPr>
          <w:p w:rsidR="000E4F6C" w:rsidRPr="000E4F6C" w:rsidRDefault="000E4F6C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 w:rsidRPr="000E4F6C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5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 w:rsidRPr="000E4F6C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0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 w:rsidRPr="000E4F6C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E4F6C" w:rsidRPr="000E4F6C" w:rsidTr="0021794C">
        <w:tc>
          <w:tcPr>
            <w:tcW w:w="769" w:type="pct"/>
            <w:vAlign w:val="center"/>
          </w:tcPr>
          <w:p w:rsidR="000E4F6C" w:rsidRPr="000E4F6C" w:rsidRDefault="006753AB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9</w:t>
            </w:r>
            <w:r w:rsidR="000E4F6C" w:rsidRPr="000E4F6C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.</w:t>
            </w:r>
            <w:r w:rsidR="000E4F6C" w:rsidRPr="000E4F6C">
              <w:rPr>
                <w:rFonts w:ascii="Times New Roman" w:eastAsia="楷体" w:hAnsi="Times New Roman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 w:hint="eastAsia"/>
                <w:bCs/>
                <w:kern w:val="0"/>
                <w:sz w:val="18"/>
                <w:szCs w:val="18"/>
              </w:rPr>
              <w:t>个人和团队</w:t>
            </w:r>
          </w:p>
        </w:tc>
        <w:tc>
          <w:tcPr>
            <w:tcW w:w="3361" w:type="pct"/>
            <w:vAlign w:val="center"/>
          </w:tcPr>
          <w:p w:rsidR="000E4F6C" w:rsidRPr="000E4F6C" w:rsidRDefault="006753AB" w:rsidP="003F608A">
            <w:pPr>
              <w:numPr>
                <w:ilvl w:val="0"/>
                <w:numId w:val="1"/>
              </w:numPr>
              <w:contextualSpacing/>
              <w:rPr>
                <w:rFonts w:ascii="Times New Roman" w:eastAsia="宋体" w:hAnsi="Times New Roman"/>
                <w:bCs/>
                <w:sz w:val="18"/>
                <w:szCs w:val="18"/>
              </w:rPr>
            </w:pPr>
            <w:r w:rsidRPr="006753AB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9.3 </w:t>
            </w:r>
            <w:r w:rsidRPr="006753AB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能够组织、协调和指挥团队开展工作。</w:t>
            </w:r>
          </w:p>
        </w:tc>
        <w:tc>
          <w:tcPr>
            <w:tcW w:w="295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0E4F6C">
              <w:rPr>
                <w:rFonts w:ascii="Segoe UI Symbol" w:eastAsia="宋体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295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0E4F6C" w:rsidRPr="000E4F6C" w:rsidRDefault="000E4F6C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</w:tr>
      <w:tr w:rsidR="006753AB" w:rsidRPr="000E4F6C" w:rsidTr="0021794C">
        <w:tc>
          <w:tcPr>
            <w:tcW w:w="769" w:type="pct"/>
            <w:vAlign w:val="center"/>
          </w:tcPr>
          <w:p w:rsidR="006753AB" w:rsidRPr="000E4F6C" w:rsidRDefault="006753AB" w:rsidP="003F608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宋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11</w:t>
            </w:r>
            <w:r w:rsidRPr="000E4F6C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.</w:t>
            </w:r>
            <w:r w:rsidRPr="000E4F6C">
              <w:rPr>
                <w:rFonts w:ascii="Times New Roman" w:eastAsia="楷体" w:hAnsi="Times New Roman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 w:hint="eastAsia"/>
                <w:bCs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3361" w:type="pct"/>
            <w:vAlign w:val="center"/>
          </w:tcPr>
          <w:p w:rsidR="006753AB" w:rsidRDefault="006753AB" w:rsidP="003F608A">
            <w:pPr>
              <w:pStyle w:val="af3"/>
              <w:rPr>
                <w:kern w:val="0"/>
              </w:rPr>
            </w:pPr>
            <w:r>
              <w:rPr>
                <w:kern w:val="0"/>
                <w:lang w:bidi="ar"/>
              </w:rPr>
              <w:t xml:space="preserve">11.1 </w:t>
            </w:r>
            <w:r>
              <w:rPr>
                <w:kern w:val="0"/>
                <w:lang w:bidi="ar"/>
              </w:rPr>
              <w:t>掌握土木工程项目中涉及的管理与经济决策方法</w:t>
            </w:r>
            <w:r>
              <w:rPr>
                <w:lang w:bidi="ar"/>
              </w:rPr>
              <w:t>。</w:t>
            </w:r>
          </w:p>
        </w:tc>
        <w:tc>
          <w:tcPr>
            <w:tcW w:w="295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0E4F6C">
              <w:rPr>
                <w:rFonts w:ascii="Segoe UI Symbol" w:eastAsia="宋体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280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</w:tr>
      <w:tr w:rsidR="006753AB" w:rsidRPr="000E4F6C" w:rsidTr="0021794C">
        <w:tc>
          <w:tcPr>
            <w:tcW w:w="769" w:type="pct"/>
            <w:vAlign w:val="center"/>
          </w:tcPr>
          <w:p w:rsidR="006753AB" w:rsidRPr="000E4F6C" w:rsidRDefault="006753AB" w:rsidP="003F608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lastRenderedPageBreak/>
              <w:t>11</w:t>
            </w:r>
            <w:r w:rsidRPr="000E4F6C"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. </w:t>
            </w:r>
            <w:r>
              <w:rPr>
                <w:rFonts w:ascii="Times New Roman" w:eastAsia="楷体" w:hAnsi="Times New Roman" w:hint="eastAsia"/>
                <w:bCs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3361" w:type="pct"/>
            <w:vAlign w:val="center"/>
          </w:tcPr>
          <w:p w:rsidR="006753AB" w:rsidRDefault="006753AB" w:rsidP="003F608A">
            <w:pPr>
              <w:pStyle w:val="af3"/>
              <w:rPr>
                <w:rFonts w:ascii="Calibri" w:eastAsia="宋体" w:hAnsi="Calibri" w:cs="Calibri"/>
              </w:rPr>
            </w:pPr>
            <w:r>
              <w:rPr>
                <w:kern w:val="0"/>
              </w:rPr>
              <w:t xml:space="preserve">11.3 </w:t>
            </w:r>
            <w:r>
              <w:rPr>
                <w:kern w:val="0"/>
              </w:rPr>
              <w:t>能在多学科环境下（包括模拟环境），在土木工程领域设计开发解决方案的过程中，运用工程管理原理与经济决策方法</w:t>
            </w:r>
            <w:r>
              <w:rPr>
                <w:rFonts w:ascii="楷体" w:hAnsi="楷体" w:hint="eastAsia"/>
                <w:kern w:val="0"/>
              </w:rPr>
              <w:t>。</w:t>
            </w:r>
          </w:p>
        </w:tc>
        <w:tc>
          <w:tcPr>
            <w:tcW w:w="295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6753AB" w:rsidRPr="000E4F6C" w:rsidRDefault="006753AB" w:rsidP="003F608A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0E4F6C">
              <w:rPr>
                <w:rFonts w:ascii="Segoe UI Symbol" w:eastAsia="宋体" w:hAnsi="Segoe UI Symbol" w:cs="Segoe UI Symbol"/>
                <w:color w:val="000000"/>
                <w:kern w:val="0"/>
                <w:sz w:val="18"/>
                <w:szCs w:val="18"/>
              </w:rPr>
              <w:t>✓</w:t>
            </w:r>
          </w:p>
        </w:tc>
      </w:tr>
    </w:tbl>
    <w:p w:rsidR="000E4F6C" w:rsidRPr="000E4F6C" w:rsidRDefault="000E4F6C" w:rsidP="000E4F6C">
      <w:pPr>
        <w:keepNext/>
        <w:keepLines/>
        <w:numPr>
          <w:ilvl w:val="1"/>
          <w:numId w:val="0"/>
        </w:numPr>
        <w:spacing w:beforeLines="150" w:before="468" w:afterLines="50" w:after="156"/>
        <w:ind w:leftChars="200" w:left="42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0E4F6C">
        <w:rPr>
          <w:rFonts w:ascii="Times New Roman" w:eastAsia="黑体" w:hAnsi="Times New Roman" w:hint="eastAsia"/>
          <w:kern w:val="44"/>
          <w:sz w:val="24"/>
          <w:szCs w:val="44"/>
        </w:rPr>
        <w:t>二、课程教学内容与学时分配</w:t>
      </w:r>
    </w:p>
    <w:p w:rsidR="000E4F6C" w:rsidRDefault="000E4F6C" w:rsidP="000E4F6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0E4F6C">
        <w:rPr>
          <w:rFonts w:ascii="Times New Roman" w:eastAsia="楷体" w:hAnsi="Times New Roman"/>
          <w:b/>
          <w:sz w:val="24"/>
          <w:szCs w:val="24"/>
        </w:rPr>
        <w:t>表</w:t>
      </w:r>
      <w:r w:rsidRPr="000E4F6C">
        <w:rPr>
          <w:rFonts w:ascii="Times New Roman" w:eastAsia="楷体" w:hAnsi="Times New Roman"/>
          <w:b/>
          <w:sz w:val="24"/>
          <w:szCs w:val="24"/>
        </w:rPr>
        <w:t xml:space="preserve">2 </w:t>
      </w:r>
      <w:r w:rsidRPr="000E4F6C">
        <w:rPr>
          <w:rFonts w:ascii="Times New Roman" w:eastAsia="楷体" w:hAnsi="Times New Roman"/>
          <w:b/>
          <w:sz w:val="24"/>
          <w:szCs w:val="24"/>
        </w:rPr>
        <w:t>课程教学内容与学时分配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05"/>
        <w:gridCol w:w="3206"/>
        <w:gridCol w:w="991"/>
        <w:gridCol w:w="853"/>
        <w:gridCol w:w="645"/>
      </w:tblGrid>
      <w:tr w:rsidR="006753AB" w:rsidRPr="001F7950" w:rsidTr="0015669E">
        <w:trPr>
          <w:trHeight w:val="860"/>
        </w:trPr>
        <w:tc>
          <w:tcPr>
            <w:tcW w:w="23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bookmarkStart w:id="0" w:name="_Hlk206341660"/>
            <w:r w:rsidRPr="001F7950">
              <w:rPr>
                <w:rFonts w:ascii="Times New Roman" w:hAnsi="Times New Roman"/>
                <w:b/>
                <w:bCs w:val="0"/>
              </w:rPr>
              <w:t>序</w:t>
            </w:r>
          </w:p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号</w:t>
            </w:r>
          </w:p>
        </w:tc>
        <w:tc>
          <w:tcPr>
            <w:tcW w:w="132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知识单元</w:t>
            </w:r>
            <w:r w:rsidRPr="001F7950">
              <w:rPr>
                <w:rFonts w:ascii="Times New Roman" w:hAnsi="Times New Roman"/>
                <w:b/>
                <w:bCs w:val="0"/>
                <w:kern w:val="0"/>
              </w:rPr>
              <w:t>（学时）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知识点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教学要求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推荐学时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  <w:b/>
                <w:bCs w:val="0"/>
              </w:rPr>
            </w:pPr>
            <w:r w:rsidRPr="001F7950">
              <w:rPr>
                <w:rFonts w:ascii="Times New Roman" w:hAnsi="Times New Roman"/>
                <w:b/>
                <w:bCs w:val="0"/>
              </w:rPr>
              <w:t>支撑课程目标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  <w:tc>
          <w:tcPr>
            <w:tcW w:w="132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color w:val="000000"/>
                <w:kern w:val="0"/>
              </w:rPr>
              <w:t>工程合同</w:t>
            </w:r>
            <w:r w:rsidRPr="001F7950">
              <w:rPr>
                <w:rFonts w:ascii="Times New Roman" w:hAnsi="Times New Roman"/>
                <w:color w:val="000000"/>
                <w:kern w:val="0"/>
              </w:rPr>
              <w:t>(10/36)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工程合同基本原理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工程合同体系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</w:tr>
      <w:tr w:rsidR="006753AB" w:rsidRPr="001F7950" w:rsidTr="0015669E">
        <w:trPr>
          <w:trHeight w:val="461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工程中的主要合同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4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</w:tr>
      <w:tr w:rsidR="006753AB" w:rsidRPr="001F7950" w:rsidTr="0015669E">
        <w:trPr>
          <w:trHeight w:val="419"/>
        </w:trPr>
        <w:tc>
          <w:tcPr>
            <w:tcW w:w="23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  <w:tc>
          <w:tcPr>
            <w:tcW w:w="132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工程合同的形式（</w:t>
            </w:r>
            <w:r w:rsidRPr="001F7950">
              <w:rPr>
                <w:rFonts w:ascii="Times New Roman" w:hAnsi="Times New Roman"/>
              </w:rPr>
              <w:t>6/36</w:t>
            </w:r>
            <w:r w:rsidRPr="001F7950">
              <w:rPr>
                <w:rFonts w:ascii="Times New Roman" w:hAnsi="Times New Roman"/>
              </w:rPr>
              <w:t>）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工程合同总体策划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熟悉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</w:tr>
      <w:tr w:rsidR="006753AB" w:rsidRPr="001F7950" w:rsidTr="0015669E">
        <w:trPr>
          <w:trHeight w:val="461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工程招标投标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招标投标中重要的合同管理工作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  <w:tc>
          <w:tcPr>
            <w:tcW w:w="132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color w:val="000000"/>
                <w:kern w:val="0"/>
              </w:rPr>
              <w:t>工程合同的履行</w:t>
            </w:r>
            <w:r w:rsidRPr="001F7950">
              <w:rPr>
                <w:rFonts w:ascii="Times New Roman" w:hAnsi="Times New Roman"/>
                <w:color w:val="000000"/>
                <w:kern w:val="0"/>
              </w:rPr>
              <w:t>(6/36)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工程合同分析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合同实施管理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4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</w:tr>
      <w:tr w:rsidR="006753AB" w:rsidRPr="001F7950" w:rsidTr="0015669E">
        <w:trPr>
          <w:trHeight w:val="419"/>
        </w:trPr>
        <w:tc>
          <w:tcPr>
            <w:tcW w:w="23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4</w:t>
            </w:r>
          </w:p>
        </w:tc>
        <w:tc>
          <w:tcPr>
            <w:tcW w:w="132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索赔及争议管理</w:t>
            </w:r>
            <w:r w:rsidRPr="001F7950">
              <w:rPr>
                <w:rFonts w:ascii="Times New Roman" w:hAnsi="Times New Roman"/>
              </w:rPr>
              <w:t>(8/36)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索赔基本原理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  <w:tr w:rsidR="006753AB" w:rsidRPr="001F7950" w:rsidTr="0015669E">
        <w:trPr>
          <w:trHeight w:val="461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工期索赔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费用和利润索赔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  <w:tr w:rsidR="006753AB" w:rsidRPr="001F7950" w:rsidTr="0015669E">
        <w:trPr>
          <w:trHeight w:val="545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索赔的处理和争议解决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1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5</w:t>
            </w:r>
          </w:p>
        </w:tc>
        <w:tc>
          <w:tcPr>
            <w:tcW w:w="1329" w:type="pct"/>
            <w:vMerge w:val="restar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color w:val="000000"/>
                <w:kern w:val="0"/>
                <w:lang w:bidi="ar"/>
              </w:rPr>
              <w:t>工程合同管理和索赔实务</w:t>
            </w:r>
            <w:r w:rsidRPr="001F7950">
              <w:rPr>
                <w:rFonts w:ascii="Times New Roman" w:hAnsi="Times New Roman"/>
                <w:color w:val="000000"/>
                <w:kern w:val="0"/>
                <w:lang w:bidi="ar"/>
              </w:rPr>
              <w:t>(6/36)</w:t>
            </w: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合同管理实务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w w:val="88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  <w:tr w:rsidR="006753AB" w:rsidRPr="001F7950" w:rsidTr="0015669E">
        <w:trPr>
          <w:trHeight w:val="440"/>
        </w:trPr>
        <w:tc>
          <w:tcPr>
            <w:tcW w:w="239" w:type="pct"/>
            <w:vMerge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pct"/>
            <w:vMerge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  <w:color w:val="000000"/>
                <w:kern w:val="0"/>
                <w:lang w:bidi="ar"/>
              </w:rPr>
            </w:pPr>
          </w:p>
        </w:tc>
        <w:tc>
          <w:tcPr>
            <w:tcW w:w="1932" w:type="pct"/>
            <w:vAlign w:val="center"/>
          </w:tcPr>
          <w:p w:rsidR="006753AB" w:rsidRPr="001F7950" w:rsidRDefault="006753AB" w:rsidP="0053437E">
            <w:pPr>
              <w:pStyle w:val="af3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工程索赔实务</w:t>
            </w:r>
          </w:p>
        </w:tc>
        <w:tc>
          <w:tcPr>
            <w:tcW w:w="597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掌握</w:t>
            </w:r>
          </w:p>
        </w:tc>
        <w:tc>
          <w:tcPr>
            <w:tcW w:w="514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w w:val="88"/>
              </w:rPr>
              <w:t>3</w:t>
            </w:r>
          </w:p>
        </w:tc>
        <w:tc>
          <w:tcPr>
            <w:tcW w:w="389" w:type="pct"/>
            <w:vAlign w:val="center"/>
          </w:tcPr>
          <w:p w:rsidR="006753AB" w:rsidRPr="001F7950" w:rsidRDefault="006753AB" w:rsidP="0053437E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3</w:t>
            </w:r>
          </w:p>
        </w:tc>
      </w:tr>
    </w:tbl>
    <w:bookmarkEnd w:id="0"/>
    <w:p w:rsidR="006753AB" w:rsidRPr="006753AB" w:rsidRDefault="006753AB" w:rsidP="006753AB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6753AB">
        <w:rPr>
          <w:rFonts w:ascii="Times New Roman" w:eastAsia="黑体" w:hAnsi="Times New Roman" w:hint="eastAsia"/>
          <w:kern w:val="44"/>
          <w:sz w:val="24"/>
          <w:szCs w:val="44"/>
        </w:rPr>
        <w:t>三、讲授提示及方法</w:t>
      </w:r>
    </w:p>
    <w:p w:rsidR="006753AB" w:rsidRPr="006753AB" w:rsidRDefault="006753AB" w:rsidP="006753AB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6753AB">
        <w:rPr>
          <w:rFonts w:ascii="Times New Roman" w:eastAsia="仿宋" w:hAnsi="Times New Roman" w:hint="eastAsia"/>
          <w:b/>
          <w:kern w:val="44"/>
          <w:sz w:val="24"/>
          <w:szCs w:val="32"/>
        </w:rPr>
        <w:t>（一）</w:t>
      </w: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工程合同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重点：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工程合同的法律属性</w:t>
      </w:r>
      <w:r>
        <w:rPr>
          <w:rFonts w:ascii="Times New Roman" w:eastAsia="仿宋" w:hAnsi="Times New Roman" w:hint="eastAsia"/>
          <w:iCs/>
          <w:sz w:val="24"/>
          <w:szCs w:val="24"/>
        </w:rPr>
        <w:t>；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标的、价款、质量、工期、违约责任</w:t>
      </w:r>
      <w:r>
        <w:rPr>
          <w:rFonts w:ascii="Times New Roman" w:eastAsia="仿宋" w:hAnsi="Times New Roman" w:hint="eastAsia"/>
          <w:iCs/>
          <w:sz w:val="24"/>
          <w:szCs w:val="24"/>
        </w:rPr>
        <w:t>等核心要素的概念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；工程合同的分类标准</w:t>
      </w:r>
      <w:r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难点：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合同要素的法律效力界定；单价合同</w:t>
      </w:r>
      <w:r>
        <w:rPr>
          <w:rFonts w:ascii="Times New Roman" w:eastAsia="仿宋" w:hAnsi="Times New Roman" w:hint="eastAsia"/>
          <w:iCs/>
          <w:sz w:val="24"/>
          <w:szCs w:val="24"/>
        </w:rPr>
        <w:t>、</w:t>
      </w:r>
      <w:r w:rsidRPr="006753AB">
        <w:rPr>
          <w:rFonts w:ascii="Times New Roman" w:eastAsia="仿宋" w:hAnsi="Times New Roman"/>
          <w:iCs/>
          <w:sz w:val="24"/>
          <w:szCs w:val="24"/>
        </w:rPr>
        <w:t>总价合同</w:t>
      </w:r>
      <w:r>
        <w:rPr>
          <w:rFonts w:ascii="Times New Roman" w:eastAsia="仿宋" w:hAnsi="Times New Roman" w:hint="eastAsia"/>
          <w:iCs/>
          <w:sz w:val="24"/>
          <w:szCs w:val="24"/>
        </w:rPr>
        <w:t>和</w:t>
      </w:r>
      <w:r w:rsidRPr="006753AB">
        <w:rPr>
          <w:rFonts w:ascii="Times New Roman" w:eastAsia="仿宋" w:hAnsi="Times New Roman"/>
          <w:iCs/>
          <w:sz w:val="24"/>
          <w:szCs w:val="24"/>
        </w:rPr>
        <w:t>成本加酬金合同</w:t>
      </w:r>
      <w:r>
        <w:rPr>
          <w:rFonts w:ascii="Times New Roman" w:eastAsia="仿宋" w:hAnsi="Times New Roman" w:hint="eastAsia"/>
          <w:iCs/>
          <w:sz w:val="24"/>
          <w:szCs w:val="24"/>
        </w:rPr>
        <w:t>三种合同类型</w:t>
      </w:r>
      <w:r w:rsidRPr="006753AB">
        <w:rPr>
          <w:rFonts w:ascii="Times New Roman" w:eastAsia="仿宋" w:hAnsi="Times New Roman"/>
          <w:iCs/>
          <w:sz w:val="24"/>
          <w:szCs w:val="24"/>
        </w:rPr>
        <w:t>的风险分配差异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讲授提示与方法：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线下教学。运用讲授法解析合同要素，演示标准合同范本结构；通过对比讨论不同合同类型的风险案例，训练学生识别</w:t>
      </w:r>
      <w:r>
        <w:rPr>
          <w:rFonts w:ascii="Times New Roman" w:eastAsia="仿宋" w:hAnsi="Times New Roman" w:hint="eastAsia"/>
          <w:iCs/>
          <w:sz w:val="24"/>
          <w:szCs w:val="24"/>
        </w:rPr>
        <w:t>合同的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关键条款；结合启发式提问引导学生理解风险分配逻辑。</w:t>
      </w:r>
      <w:r>
        <w:rPr>
          <w:rFonts w:ascii="Times New Roman" w:eastAsia="仿宋" w:hAnsi="Times New Roman" w:hint="eastAsia"/>
          <w:iCs/>
          <w:sz w:val="24"/>
          <w:szCs w:val="24"/>
        </w:rPr>
        <w:t>课后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布置合同类型选择分析作业深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lastRenderedPageBreak/>
        <w:t>化理解。</w:t>
      </w:r>
    </w:p>
    <w:p w:rsidR="006753AB" w:rsidRPr="006753AB" w:rsidRDefault="006753AB" w:rsidP="006753AB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6753AB">
        <w:rPr>
          <w:rFonts w:ascii="Times New Roman" w:eastAsia="仿宋" w:hAnsi="Times New Roman" w:hint="eastAsia"/>
          <w:b/>
          <w:kern w:val="44"/>
          <w:sz w:val="24"/>
          <w:szCs w:val="32"/>
        </w:rPr>
        <w:t>（二）</w:t>
      </w: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工程合同的形式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重点：</w:t>
      </w:r>
      <w:r w:rsidR="00171BC1">
        <w:rPr>
          <w:rFonts w:ascii="Times New Roman" w:eastAsia="仿宋" w:hAnsi="Times New Roman" w:hint="eastAsia"/>
          <w:iCs/>
          <w:sz w:val="24"/>
          <w:szCs w:val="24"/>
        </w:rPr>
        <w:t>工程项目</w:t>
      </w:r>
      <w:r w:rsidR="00171BC1" w:rsidRPr="00171BC1">
        <w:rPr>
          <w:rFonts w:ascii="Times New Roman" w:eastAsia="仿宋" w:hAnsi="Times New Roman" w:hint="eastAsia"/>
          <w:iCs/>
          <w:sz w:val="24"/>
          <w:szCs w:val="24"/>
        </w:rPr>
        <w:t>招标文件与合同条款的衔接；</w:t>
      </w:r>
      <w:r w:rsidR="00DF1E3A" w:rsidRPr="00DF1E3A">
        <w:rPr>
          <w:rFonts w:ascii="Times New Roman" w:eastAsia="仿宋" w:hAnsi="Times New Roman" w:hint="eastAsia"/>
          <w:iCs/>
          <w:sz w:val="24"/>
          <w:szCs w:val="24"/>
        </w:rPr>
        <w:t>风险分担、支付机制、变更程序</w:t>
      </w:r>
      <w:r w:rsidR="00DF1E3A">
        <w:rPr>
          <w:rFonts w:ascii="Times New Roman" w:eastAsia="仿宋" w:hAnsi="Times New Roman" w:hint="eastAsia"/>
          <w:iCs/>
          <w:sz w:val="24"/>
          <w:szCs w:val="24"/>
        </w:rPr>
        <w:t>等</w:t>
      </w:r>
      <w:r w:rsidR="00171BC1" w:rsidRPr="00171BC1">
        <w:rPr>
          <w:rFonts w:ascii="Times New Roman" w:eastAsia="仿宋" w:hAnsi="Times New Roman" w:hint="eastAsia"/>
          <w:iCs/>
          <w:sz w:val="24"/>
          <w:szCs w:val="24"/>
        </w:rPr>
        <w:t>合同谈判的核心议题；合同生效的法律要件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难点：</w:t>
      </w:r>
      <w:r w:rsidR="00DF1E3A" w:rsidRPr="00DF1E3A">
        <w:rPr>
          <w:rFonts w:ascii="Times New Roman" w:eastAsia="仿宋" w:hAnsi="Times New Roman" w:hint="eastAsia"/>
          <w:iCs/>
          <w:sz w:val="24"/>
          <w:szCs w:val="24"/>
        </w:rPr>
        <w:t>隐性风险条款识别；技术标准与合同责任的协同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bookmarkStart w:id="1" w:name="_Hlk219475137"/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讲授提示与方法：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截面几何性质的讲授采用</w:t>
      </w:r>
      <w:bookmarkEnd w:id="1"/>
      <w:r w:rsidRPr="006753AB">
        <w:rPr>
          <w:rFonts w:ascii="Times New Roman" w:eastAsia="仿宋" w:hAnsi="Times New Roman" w:hint="eastAsia"/>
          <w:iCs/>
          <w:sz w:val="24"/>
          <w:szCs w:val="24"/>
        </w:rPr>
        <w:t>图形推导与数值计算相结合的传统方法。静矩和形心的概念通过典型截面的分块计算法进行演示，惯性矩和惯性积的物理意义通过矩形截面微分法推导阐明。平行移轴公式等的教学采用“理论证明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例题演算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错例分析”三步法，结合工字钢等组合截面的实际工程算例。</w:t>
      </w:r>
    </w:p>
    <w:p w:rsidR="006753AB" w:rsidRPr="006753AB" w:rsidRDefault="006753AB" w:rsidP="006753AB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bookmarkStart w:id="2" w:name="_Hlk219475197"/>
      <w:r w:rsidRPr="006753AB">
        <w:rPr>
          <w:rFonts w:ascii="Times New Roman" w:eastAsia="仿宋" w:hAnsi="Times New Roman" w:hint="eastAsia"/>
          <w:b/>
          <w:kern w:val="44"/>
          <w:sz w:val="24"/>
          <w:szCs w:val="32"/>
        </w:rPr>
        <w:t>（三）</w:t>
      </w:r>
      <w:r w:rsidR="00DF1E3A" w:rsidRPr="00DF1E3A">
        <w:rPr>
          <w:rFonts w:ascii="Times New Roman" w:eastAsia="仿宋" w:hAnsi="Times New Roman"/>
          <w:b/>
          <w:kern w:val="44"/>
          <w:sz w:val="24"/>
          <w:szCs w:val="32"/>
        </w:rPr>
        <w:t>工程合同</w:t>
      </w:r>
      <w:r w:rsid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的</w:t>
      </w:r>
      <w:r w:rsidR="00DF1E3A" w:rsidRPr="00DF1E3A">
        <w:rPr>
          <w:rFonts w:ascii="Times New Roman" w:eastAsia="仿宋" w:hAnsi="Times New Roman"/>
          <w:b/>
          <w:kern w:val="44"/>
          <w:sz w:val="24"/>
          <w:szCs w:val="32"/>
        </w:rPr>
        <w:t>履行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重点：</w:t>
      </w:r>
      <w:r w:rsidR="00DF1E3A" w:rsidRPr="00DF1E3A">
        <w:rPr>
          <w:rFonts w:ascii="Times New Roman" w:eastAsia="仿宋" w:hAnsi="Times New Roman" w:hint="eastAsia"/>
          <w:iCs/>
          <w:sz w:val="24"/>
          <w:szCs w:val="24"/>
        </w:rPr>
        <w:t>合同履行中的权利义务边界；工程变更的确认程序与计价原则；质量与工期违约的判定标准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Pr="006753AB" w:rsidRDefault="006753AB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楷体" w:hAnsi="Times New Roman"/>
          <w:bCs/>
          <w:sz w:val="18"/>
          <w:szCs w:val="18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难点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：</w:t>
      </w:r>
      <w:r w:rsidR="00DF1E3A" w:rsidRPr="00DF1E3A">
        <w:rPr>
          <w:rFonts w:ascii="Times New Roman" w:eastAsia="仿宋" w:hAnsi="Times New Roman" w:hint="eastAsia"/>
          <w:iCs/>
          <w:sz w:val="24"/>
          <w:szCs w:val="24"/>
        </w:rPr>
        <w:t>变更指令的书面确认时效；交叉违约责任的归因分析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6753AB" w:rsidRDefault="00DF1E3A" w:rsidP="006753AB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楷体" w:hAnsi="Times New Roman"/>
          <w:bCs/>
          <w:sz w:val="18"/>
          <w:szCs w:val="18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讲授提示与方法：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讲授法和案例教学相结合。课堂讲授时注重讲透基本概念、基本原理和方法并通过作业和案例分析加以运用、巩固和完善。以学生为学习的主体，发挥学生的主动性，采用启发式教学、自主式教学、发现式教学、互动式教学进行专题研讨。</w:t>
      </w:r>
    </w:p>
    <w:bookmarkEnd w:id="2"/>
    <w:p w:rsidR="00DF1E3A" w:rsidRPr="006753AB" w:rsidRDefault="00DF1E3A" w:rsidP="00DF1E3A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6753AB">
        <w:rPr>
          <w:rFonts w:ascii="Times New Roman" w:eastAsia="仿宋" w:hAnsi="Times New Roman" w:hint="eastAsia"/>
          <w:b/>
          <w:kern w:val="44"/>
          <w:sz w:val="24"/>
          <w:szCs w:val="32"/>
        </w:rPr>
        <w:t>（</w:t>
      </w: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四</w:t>
      </w:r>
      <w:r w:rsidRPr="006753AB">
        <w:rPr>
          <w:rFonts w:ascii="Times New Roman" w:eastAsia="仿宋" w:hAnsi="Times New Roman" w:hint="eastAsia"/>
          <w:b/>
          <w:kern w:val="44"/>
          <w:sz w:val="24"/>
          <w:szCs w:val="32"/>
        </w:rPr>
        <w:t>）</w:t>
      </w: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索</w:t>
      </w:r>
      <w:r w:rsidRPr="00DF1E3A">
        <w:rPr>
          <w:rFonts w:ascii="Times New Roman" w:eastAsia="仿宋" w:hAnsi="Times New Roman"/>
          <w:b/>
          <w:kern w:val="44"/>
          <w:sz w:val="24"/>
          <w:szCs w:val="32"/>
        </w:rPr>
        <w:t>赔及争议管理</w:t>
      </w:r>
    </w:p>
    <w:p w:rsidR="00DF1E3A" w:rsidRPr="006753AB" w:rsidRDefault="00DF1E3A" w:rsidP="00DF1E3A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仿宋" w:hAnsi="Times New Roman"/>
          <w:b/>
          <w:bCs/>
          <w:i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重点：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合同全生命周期管理流程；索赔谈判的策略设计；争议调解中的利益平衡技巧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DF1E3A" w:rsidRPr="006753AB" w:rsidRDefault="00DF1E3A" w:rsidP="00DF1E3A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楷体" w:hAnsi="Times New Roman"/>
          <w:bCs/>
          <w:sz w:val="18"/>
          <w:szCs w:val="18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难点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：</w:t>
      </w:r>
      <w:r>
        <w:rPr>
          <w:rFonts w:ascii="Times New Roman" w:eastAsia="仿宋" w:hAnsi="Times New Roman" w:hint="eastAsia"/>
          <w:iCs/>
          <w:sz w:val="24"/>
          <w:szCs w:val="24"/>
        </w:rPr>
        <w:t>合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同履行数据的系统性监控；索赔预期与谈判底线的设定</w:t>
      </w:r>
      <w:r w:rsidRPr="006753AB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DF1E3A" w:rsidRDefault="00DF1E3A" w:rsidP="00DF1E3A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楷体" w:hAnsi="Times New Roman"/>
          <w:bCs/>
          <w:sz w:val="18"/>
          <w:szCs w:val="18"/>
        </w:rPr>
      </w:pPr>
      <w:r w:rsidRPr="006753AB">
        <w:rPr>
          <w:rFonts w:ascii="Times New Roman" w:eastAsia="仿宋" w:hAnsi="Times New Roman"/>
          <w:b/>
          <w:bCs/>
          <w:iCs/>
          <w:sz w:val="24"/>
          <w:szCs w:val="24"/>
        </w:rPr>
        <w:t>讲授提示与方法：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课堂教学</w:t>
      </w:r>
      <w:r w:rsidRPr="00DF1E3A">
        <w:rPr>
          <w:rFonts w:ascii="Times New Roman" w:eastAsia="仿宋" w:hAnsi="Times New Roman"/>
          <w:iCs/>
          <w:sz w:val="24"/>
          <w:szCs w:val="24"/>
        </w:rPr>
        <w:t>+</w:t>
      </w:r>
      <w:r w:rsidRPr="00DF1E3A">
        <w:rPr>
          <w:rFonts w:ascii="Times New Roman" w:eastAsia="仿宋" w:hAnsi="Times New Roman"/>
          <w:iCs/>
          <w:sz w:val="24"/>
          <w:szCs w:val="24"/>
        </w:rPr>
        <w:t>问题引导</w:t>
      </w:r>
      <w:r w:rsidRPr="00DF1E3A">
        <w:rPr>
          <w:rFonts w:ascii="Times New Roman" w:eastAsia="仿宋" w:hAnsi="Times New Roman"/>
          <w:iCs/>
          <w:sz w:val="24"/>
          <w:szCs w:val="24"/>
        </w:rPr>
        <w:t>+</w:t>
      </w:r>
      <w:r w:rsidRPr="00DF1E3A">
        <w:rPr>
          <w:rFonts w:ascii="Times New Roman" w:eastAsia="仿宋" w:hAnsi="Times New Roman"/>
          <w:iCs/>
          <w:sz w:val="24"/>
          <w:szCs w:val="24"/>
        </w:rPr>
        <w:t>案例研讨。严格按</w:t>
      </w:r>
      <w:r w:rsidRPr="00DF1E3A">
        <w:rPr>
          <w:rFonts w:ascii="Times New Roman" w:eastAsia="仿宋" w:hAnsi="Times New Roman"/>
          <w:iCs/>
          <w:sz w:val="24"/>
          <w:szCs w:val="24"/>
        </w:rPr>
        <w:t>“</w:t>
      </w:r>
      <w:r w:rsidRPr="00DF1E3A">
        <w:rPr>
          <w:rFonts w:ascii="Times New Roman" w:eastAsia="仿宋" w:hAnsi="Times New Roman"/>
          <w:iCs/>
          <w:sz w:val="24"/>
          <w:szCs w:val="24"/>
        </w:rPr>
        <w:t>重点</w:t>
      </w:r>
      <w:r w:rsidRPr="00DF1E3A">
        <w:rPr>
          <w:rFonts w:ascii="Times New Roman" w:eastAsia="仿宋" w:hAnsi="Times New Roman"/>
          <w:iCs/>
          <w:sz w:val="24"/>
          <w:szCs w:val="24"/>
        </w:rPr>
        <w:t>→</w:t>
      </w:r>
      <w:r w:rsidRPr="00DF1E3A">
        <w:rPr>
          <w:rFonts w:ascii="Times New Roman" w:eastAsia="仿宋" w:hAnsi="Times New Roman"/>
          <w:iCs/>
          <w:sz w:val="24"/>
          <w:szCs w:val="24"/>
        </w:rPr>
        <w:t>难点</w:t>
      </w:r>
      <w:r w:rsidRPr="00DF1E3A">
        <w:rPr>
          <w:rFonts w:ascii="Times New Roman" w:eastAsia="仿宋" w:hAnsi="Times New Roman"/>
          <w:iCs/>
          <w:sz w:val="24"/>
          <w:szCs w:val="24"/>
        </w:rPr>
        <w:t>→</w:t>
      </w:r>
      <w:r w:rsidRPr="00DF1E3A">
        <w:rPr>
          <w:rFonts w:ascii="Times New Roman" w:eastAsia="仿宋" w:hAnsi="Times New Roman"/>
          <w:iCs/>
          <w:sz w:val="24"/>
          <w:szCs w:val="24"/>
        </w:rPr>
        <w:t>讲授提示与方法</w:t>
      </w:r>
      <w:r w:rsidRPr="00DF1E3A">
        <w:rPr>
          <w:rFonts w:ascii="Times New Roman" w:eastAsia="仿宋" w:hAnsi="Times New Roman"/>
          <w:iCs/>
          <w:sz w:val="24"/>
          <w:szCs w:val="24"/>
        </w:rPr>
        <w:t>”</w:t>
      </w:r>
      <w:r w:rsidRPr="00DF1E3A">
        <w:rPr>
          <w:rFonts w:ascii="Times New Roman" w:eastAsia="仿宋" w:hAnsi="Times New Roman"/>
          <w:iCs/>
          <w:sz w:val="24"/>
          <w:szCs w:val="24"/>
        </w:rPr>
        <w:t>三级展开。讲授法串联管理流程，演示合同管理软件操作；播放真实谈判录像解析攻防策略，组织调解角色扮演；通过问题引导强化学生的数据驱动思维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:rsidR="00DF1E3A" w:rsidRPr="00DF1E3A" w:rsidRDefault="00DF1E3A" w:rsidP="00DF1E3A">
      <w:pPr>
        <w:keepNext/>
        <w:keepLines/>
        <w:numPr>
          <w:ilvl w:val="1"/>
          <w:numId w:val="0"/>
        </w:numPr>
        <w:spacing w:beforeLines="150" w:before="468" w:afterLines="50" w:after="156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DF1E3A">
        <w:rPr>
          <w:rFonts w:ascii="Times New Roman" w:eastAsia="黑体" w:hAnsi="Times New Roman" w:hint="eastAsia"/>
          <w:kern w:val="44"/>
          <w:sz w:val="24"/>
          <w:szCs w:val="44"/>
        </w:rPr>
        <w:lastRenderedPageBreak/>
        <w:t>四、课程考核</w:t>
      </w:r>
    </w:p>
    <w:p w:rsidR="00DF1E3A" w:rsidRPr="00DF1E3A" w:rsidRDefault="00DF1E3A" w:rsidP="00DF1E3A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（一）考核方式与成绩</w:t>
      </w:r>
      <w:r w:rsidRPr="00DF1E3A">
        <w:rPr>
          <w:rFonts w:ascii="Times" w:eastAsia="仿宋" w:hAnsi="Times"/>
          <w:b/>
          <w:kern w:val="44"/>
          <w:sz w:val="24"/>
          <w:szCs w:val="32"/>
        </w:rPr>
        <w:t>构成</w:t>
      </w:r>
    </w:p>
    <w:p w:rsidR="00DF1E3A" w:rsidRPr="00DF1E3A" w:rsidRDefault="00DF1E3A" w:rsidP="00DF1E3A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DF1E3A">
        <w:rPr>
          <w:rFonts w:ascii="Times New Roman" w:eastAsia="仿宋" w:hAnsi="Times New Roman"/>
          <w:iCs/>
          <w:sz w:val="24"/>
          <w:szCs w:val="24"/>
        </w:rPr>
        <w:t>考核方式：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包括课堂表现、平时作业、阶段性测试和</w:t>
      </w:r>
      <w:r w:rsidRPr="00DF1E3A">
        <w:rPr>
          <w:rFonts w:ascii="Times New Roman" w:eastAsia="仿宋" w:hAnsi="Times New Roman"/>
          <w:iCs/>
          <w:sz w:val="24"/>
          <w:szCs w:val="24"/>
        </w:rPr>
        <w:t>期末考试。</w:t>
      </w:r>
    </w:p>
    <w:p w:rsidR="00DF1E3A" w:rsidRPr="00DF1E3A" w:rsidRDefault="00DF1E3A" w:rsidP="00DF1E3A">
      <w:pPr>
        <w:numPr>
          <w:ilvl w:val="0"/>
          <w:numId w:val="1"/>
        </w:numPr>
        <w:spacing w:afterLines="100" w:after="312" w:line="360" w:lineRule="auto"/>
        <w:ind w:firstLineChars="200" w:firstLine="480"/>
        <w:rPr>
          <w:rFonts w:ascii="Times New Roman" w:eastAsia="宋体" w:hAnsi="Times New Roman"/>
          <w:iCs/>
          <w:sz w:val="18"/>
          <w:szCs w:val="24"/>
        </w:rPr>
      </w:pPr>
      <w:r w:rsidRPr="00DF1E3A">
        <w:rPr>
          <w:rFonts w:ascii="Times New Roman" w:eastAsia="仿宋" w:hAnsi="Times New Roman"/>
          <w:iCs/>
          <w:sz w:val="24"/>
          <w:szCs w:val="24"/>
        </w:rPr>
        <w:t>成绩构成：总成绩为</w:t>
      </w:r>
      <w:r w:rsidRPr="00DF1E3A">
        <w:rPr>
          <w:rFonts w:ascii="Times New Roman" w:eastAsia="仿宋" w:hAnsi="Times New Roman"/>
          <w:iCs/>
          <w:sz w:val="24"/>
          <w:szCs w:val="24"/>
        </w:rPr>
        <w:t>100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DF1E3A">
        <w:rPr>
          <w:rFonts w:ascii="Times New Roman" w:eastAsia="仿宋" w:hAnsi="Times New Roman"/>
          <w:iCs/>
          <w:sz w:val="24"/>
          <w:szCs w:val="24"/>
        </w:rPr>
        <w:t>%</w:t>
      </w:r>
      <w:r w:rsidRPr="00DF1E3A">
        <w:rPr>
          <w:rFonts w:ascii="Times New Roman" w:eastAsia="仿宋" w:hAnsi="Times New Roman"/>
          <w:iCs/>
          <w:sz w:val="24"/>
          <w:szCs w:val="24"/>
        </w:rPr>
        <w:t>，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课堂表现</w:t>
      </w:r>
      <w:r w:rsidRPr="00DF1E3A">
        <w:rPr>
          <w:rFonts w:ascii="Times New Roman" w:eastAsia="仿宋" w:hAnsi="Times New Roman"/>
          <w:iCs/>
          <w:sz w:val="24"/>
          <w:szCs w:val="24"/>
        </w:rPr>
        <w:t>成绩占</w:t>
      </w:r>
      <w:r>
        <w:rPr>
          <w:rFonts w:ascii="Times New Roman" w:eastAsia="仿宋" w:hAnsi="Times New Roman"/>
          <w:iCs/>
          <w:sz w:val="24"/>
          <w:szCs w:val="24"/>
        </w:rPr>
        <w:t>2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 xml:space="preserve">0 </w:t>
      </w:r>
      <w:r w:rsidRPr="00DF1E3A">
        <w:rPr>
          <w:rFonts w:ascii="Times New Roman" w:eastAsia="仿宋" w:hAnsi="Times New Roman"/>
          <w:iCs/>
          <w:sz w:val="24"/>
          <w:szCs w:val="24"/>
        </w:rPr>
        <w:t>%</w:t>
      </w:r>
      <w:r w:rsidRPr="00DF1E3A">
        <w:rPr>
          <w:rFonts w:ascii="Times New Roman" w:eastAsia="仿宋" w:hAnsi="Times New Roman"/>
          <w:iCs/>
          <w:sz w:val="24"/>
          <w:szCs w:val="24"/>
        </w:rPr>
        <w:t>，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平时作业</w:t>
      </w:r>
      <w:r w:rsidRPr="00DF1E3A">
        <w:rPr>
          <w:rFonts w:ascii="Times New Roman" w:eastAsia="仿宋" w:hAnsi="Times New Roman"/>
          <w:iCs/>
          <w:sz w:val="24"/>
          <w:szCs w:val="24"/>
        </w:rPr>
        <w:t>成绩占</w:t>
      </w:r>
      <w:r>
        <w:rPr>
          <w:rFonts w:ascii="Times New Roman" w:eastAsia="仿宋" w:hAnsi="Times New Roman"/>
          <w:iCs/>
          <w:sz w:val="24"/>
          <w:szCs w:val="24"/>
        </w:rPr>
        <w:t>4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 xml:space="preserve">0 </w:t>
      </w:r>
      <w:r w:rsidRPr="00DF1E3A">
        <w:rPr>
          <w:rFonts w:ascii="Times New Roman" w:eastAsia="仿宋" w:hAnsi="Times New Roman"/>
          <w:iCs/>
          <w:sz w:val="24"/>
          <w:szCs w:val="24"/>
        </w:rPr>
        <w:t>%</w:t>
      </w:r>
      <w:r w:rsidRPr="00DF1E3A">
        <w:rPr>
          <w:rFonts w:ascii="Times New Roman" w:eastAsia="仿宋" w:hAnsi="Times New Roman"/>
          <w:iCs/>
          <w:sz w:val="24"/>
          <w:szCs w:val="24"/>
        </w:rPr>
        <w:t>，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阶段性测试</w:t>
      </w:r>
      <w:r w:rsidRPr="00DF1E3A">
        <w:rPr>
          <w:rFonts w:ascii="Times New Roman" w:eastAsia="仿宋" w:hAnsi="Times New Roman"/>
          <w:iCs/>
          <w:sz w:val="24"/>
          <w:szCs w:val="24"/>
        </w:rPr>
        <w:t>成绩占</w:t>
      </w:r>
      <w:r>
        <w:rPr>
          <w:rFonts w:ascii="Times New Roman" w:eastAsia="仿宋" w:hAnsi="Times New Roman"/>
          <w:iCs/>
          <w:sz w:val="24"/>
          <w:szCs w:val="24"/>
        </w:rPr>
        <w:t>2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 xml:space="preserve">0 </w:t>
      </w:r>
      <w:r w:rsidRPr="00DF1E3A">
        <w:rPr>
          <w:rFonts w:ascii="Times New Roman" w:eastAsia="仿宋" w:hAnsi="Times New Roman"/>
          <w:iCs/>
          <w:sz w:val="24"/>
          <w:szCs w:val="24"/>
        </w:rPr>
        <w:t>%</w:t>
      </w:r>
      <w:r w:rsidRPr="00DF1E3A">
        <w:rPr>
          <w:rFonts w:ascii="Times New Roman" w:eastAsia="仿宋" w:hAnsi="Times New Roman"/>
          <w:iCs/>
          <w:sz w:val="24"/>
          <w:szCs w:val="24"/>
        </w:rPr>
        <w:t>，期末考试成绩占</w:t>
      </w:r>
      <w:r>
        <w:rPr>
          <w:rFonts w:ascii="Times New Roman" w:eastAsia="仿宋" w:hAnsi="Times New Roman"/>
          <w:iCs/>
          <w:sz w:val="24"/>
          <w:szCs w:val="24"/>
        </w:rPr>
        <w:t>2</w:t>
      </w:r>
      <w:r w:rsidRPr="00DF1E3A">
        <w:rPr>
          <w:rFonts w:ascii="Times New Roman" w:eastAsia="仿宋" w:hAnsi="Times New Roman"/>
          <w:iCs/>
          <w:sz w:val="24"/>
          <w:szCs w:val="24"/>
        </w:rPr>
        <w:t>0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DF1E3A">
        <w:rPr>
          <w:rFonts w:ascii="Times New Roman" w:eastAsia="仿宋" w:hAnsi="Times New Roman"/>
          <w:iCs/>
          <w:sz w:val="24"/>
          <w:szCs w:val="24"/>
        </w:rPr>
        <w:t>%</w:t>
      </w:r>
      <w:r w:rsidRPr="00DF1E3A">
        <w:rPr>
          <w:rFonts w:ascii="Times New Roman" w:eastAsia="仿宋" w:hAnsi="Times New Roman"/>
          <w:iCs/>
          <w:sz w:val="24"/>
          <w:szCs w:val="24"/>
        </w:rPr>
        <w:t>。</w:t>
      </w:r>
    </w:p>
    <w:p w:rsidR="00DF1E3A" w:rsidRPr="00DF1E3A" w:rsidRDefault="00DF1E3A" w:rsidP="00DF1E3A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（二）知识单元—课程目标</w:t>
      </w:r>
      <w:proofErr w:type="gramStart"/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—知识</w:t>
      </w:r>
      <w:proofErr w:type="gramEnd"/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点—考核方式</w:t>
      </w:r>
      <w:proofErr w:type="gramStart"/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—目</w:t>
      </w:r>
      <w:proofErr w:type="gramEnd"/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标分值对应关系</w:t>
      </w:r>
    </w:p>
    <w:p w:rsidR="00DF1E3A" w:rsidRPr="00DF1E3A" w:rsidRDefault="00DF1E3A" w:rsidP="00DF1E3A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DF1E3A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 xml:space="preserve">3 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>知识单元—课程目标</w:t>
      </w:r>
      <w:proofErr w:type="gramStart"/>
      <w:r w:rsidRPr="00DF1E3A">
        <w:rPr>
          <w:rFonts w:ascii="Times New Roman" w:eastAsia="楷体" w:hAnsi="Times New Roman" w:hint="eastAsia"/>
          <w:b/>
          <w:sz w:val="24"/>
          <w:szCs w:val="24"/>
        </w:rPr>
        <w:t>—知识</w:t>
      </w:r>
      <w:proofErr w:type="gramEnd"/>
      <w:r w:rsidRPr="00DF1E3A">
        <w:rPr>
          <w:rFonts w:ascii="Times New Roman" w:eastAsia="楷体" w:hAnsi="Times New Roman" w:hint="eastAsia"/>
          <w:b/>
          <w:sz w:val="24"/>
          <w:szCs w:val="24"/>
        </w:rPr>
        <w:t>点—考核方式</w:t>
      </w:r>
      <w:proofErr w:type="gramStart"/>
      <w:r w:rsidRPr="00DF1E3A">
        <w:rPr>
          <w:rFonts w:ascii="Times New Roman" w:eastAsia="楷体" w:hAnsi="Times New Roman" w:hint="eastAsia"/>
          <w:b/>
          <w:sz w:val="24"/>
          <w:szCs w:val="24"/>
        </w:rPr>
        <w:t>—目</w:t>
      </w:r>
      <w:proofErr w:type="gramEnd"/>
      <w:r w:rsidRPr="00DF1E3A">
        <w:rPr>
          <w:rFonts w:ascii="Times New Roman" w:eastAsia="楷体" w:hAnsi="Times New Roman" w:hint="eastAsia"/>
          <w:b/>
          <w:sz w:val="24"/>
          <w:szCs w:val="24"/>
        </w:rPr>
        <w:t>标分值对应表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143"/>
        <w:gridCol w:w="537"/>
        <w:gridCol w:w="4285"/>
        <w:gridCol w:w="1056"/>
        <w:gridCol w:w="809"/>
      </w:tblGrid>
      <w:tr w:rsidR="00DF1E3A" w:rsidRPr="00DF1E3A" w:rsidTr="00A73CB3">
        <w:trPr>
          <w:trHeight w:val="638"/>
          <w:tblHeader/>
        </w:trPr>
        <w:tc>
          <w:tcPr>
            <w:tcW w:w="467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144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知识单元</w:t>
            </w:r>
          </w:p>
        </w:tc>
        <w:tc>
          <w:tcPr>
            <w:tcW w:w="538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课程目标</w:t>
            </w:r>
          </w:p>
        </w:tc>
        <w:tc>
          <w:tcPr>
            <w:tcW w:w="4294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1058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810" w:type="dxa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目标分值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:rsidR="00DF1E3A" w:rsidRPr="001F7950" w:rsidRDefault="00DF1E3A" w:rsidP="00DF1E3A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  <w:color w:val="000000"/>
                <w:kern w:val="0"/>
              </w:rPr>
              <w:t>工程合同</w:t>
            </w:r>
            <w:r w:rsidRPr="001F7950">
              <w:rPr>
                <w:rFonts w:ascii="Times New Roman" w:hAnsi="Times New Roman"/>
                <w:color w:val="000000"/>
                <w:kern w:val="0"/>
              </w:rPr>
              <w:t>(10/36)</w:t>
            </w:r>
          </w:p>
        </w:tc>
        <w:tc>
          <w:tcPr>
            <w:tcW w:w="538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color w:val="000000"/>
                <w:kern w:val="0"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4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1.工程合同基本原理</w:t>
            </w:r>
          </w:p>
          <w:p w:rsidR="00DF1E3A" w:rsidRDefault="00DF1E3A" w:rsidP="00DF1E3A">
            <w:pPr>
              <w:widowControl/>
              <w:spacing w:line="276" w:lineRule="auto"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工程合同体系</w:t>
            </w:r>
          </w:p>
          <w:p w:rsidR="00DF1E3A" w:rsidRDefault="00DF1E3A" w:rsidP="00DF1E3A">
            <w:pPr>
              <w:widowControl/>
              <w:spacing w:line="276" w:lineRule="auto"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工程中的主要合同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25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30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F56D44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期末考试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25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144" w:type="dxa"/>
            <w:vMerge w:val="restart"/>
            <w:vAlign w:val="center"/>
          </w:tcPr>
          <w:p w:rsidR="00DF1E3A" w:rsidRPr="001F7950" w:rsidRDefault="00DF1E3A" w:rsidP="00DF1E3A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DF1E3A" w:rsidRPr="001F7950" w:rsidRDefault="00DF1E3A" w:rsidP="00DF1E3A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工程合同的形式（</w:t>
            </w:r>
            <w:r w:rsidRPr="001F7950">
              <w:rPr>
                <w:rFonts w:ascii="Times New Roman" w:hAnsi="Times New Roman"/>
              </w:rPr>
              <w:t>6/36</w:t>
            </w:r>
            <w:r w:rsidRPr="001F7950">
              <w:rPr>
                <w:rFonts w:ascii="Times New Roman" w:hAnsi="Times New Roman"/>
              </w:rPr>
              <w:t>）</w:t>
            </w:r>
          </w:p>
        </w:tc>
        <w:tc>
          <w:tcPr>
            <w:tcW w:w="538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9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工程合同总体策划</w:t>
            </w:r>
          </w:p>
          <w:p w:rsidR="00DF1E3A" w:rsidRPr="00DF1E3A" w:rsidRDefault="00DF1E3A" w:rsidP="00DF1E3A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工程招标投标</w:t>
            </w:r>
          </w:p>
          <w:p w:rsidR="00DF1E3A" w:rsidRPr="00DF1E3A" w:rsidRDefault="00DF1E3A" w:rsidP="00DF1E3A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招标投标中重要的合同管理工作</w:t>
            </w: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静矩和形心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15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</w:tr>
      <w:tr w:rsidR="00DF1E3A" w:rsidRPr="00DF1E3A" w:rsidTr="00A73CB3">
        <w:trPr>
          <w:trHeight w:val="340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F56D44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期末考试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15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F7950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</w:rPr>
              <w:t>工程合同的履行</w:t>
            </w:r>
            <w:r w:rsidRPr="001F7950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</w:rPr>
              <w:t>(6/36)</w:t>
            </w:r>
          </w:p>
        </w:tc>
        <w:tc>
          <w:tcPr>
            <w:tcW w:w="538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9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4"/>
              </w:numPr>
              <w:snapToGrid w:val="0"/>
              <w:jc w:val="left"/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color w:val="000000"/>
                <w:sz w:val="18"/>
                <w:szCs w:val="18"/>
              </w:rPr>
              <w:t>工程合同分析</w:t>
            </w:r>
          </w:p>
          <w:p w:rsidR="00DF1E3A" w:rsidRPr="00DF1E3A" w:rsidRDefault="00DF1E3A" w:rsidP="00DF1E3A">
            <w:pPr>
              <w:numPr>
                <w:ilvl w:val="0"/>
                <w:numId w:val="4"/>
              </w:numPr>
              <w:snapToGrid w:val="0"/>
              <w:jc w:val="left"/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合同实施管理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15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4"/>
              </w:numPr>
              <w:snapToGrid w:val="0"/>
              <w:ind w:firstLineChars="50" w:firstLine="9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F56D44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5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144" w:type="dxa"/>
            <w:vMerge w:val="restart"/>
            <w:vAlign w:val="center"/>
          </w:tcPr>
          <w:p w:rsidR="00DF1E3A" w:rsidRPr="001F7950" w:rsidRDefault="00DF1E3A" w:rsidP="00DF1E3A">
            <w:pPr>
              <w:pStyle w:val="af3"/>
              <w:jc w:val="center"/>
              <w:rPr>
                <w:rFonts w:ascii="Times New Roman" w:hAnsi="Times New Roman"/>
              </w:rPr>
            </w:pPr>
            <w:r w:rsidRPr="001F7950">
              <w:rPr>
                <w:rFonts w:ascii="Times New Roman" w:hAnsi="Times New Roman"/>
              </w:rPr>
              <w:t>索赔及争议管理</w:t>
            </w:r>
            <w:r w:rsidRPr="001F7950">
              <w:rPr>
                <w:rFonts w:ascii="Times New Roman" w:hAnsi="Times New Roman"/>
              </w:rPr>
              <w:t>(8/36)</w:t>
            </w:r>
          </w:p>
        </w:tc>
        <w:tc>
          <w:tcPr>
            <w:tcW w:w="538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9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索赔基本原理</w:t>
            </w:r>
          </w:p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工期索赔</w:t>
            </w:r>
          </w:p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费用和利润索赔</w:t>
            </w:r>
          </w:p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索赔的处理和争议解决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25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30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F56D44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30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14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工程合同管理和索赔实务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(6/36)</w:t>
            </w:r>
          </w:p>
        </w:tc>
        <w:tc>
          <w:tcPr>
            <w:tcW w:w="538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94" w:type="dxa"/>
            <w:vMerge w:val="restart"/>
            <w:vAlign w:val="center"/>
          </w:tcPr>
          <w:p w:rsidR="00DF1E3A" w:rsidRPr="00DF1E3A" w:rsidRDefault="00DF1E3A" w:rsidP="00DF1E3A">
            <w:pPr>
              <w:numPr>
                <w:ilvl w:val="0"/>
                <w:numId w:val="6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合同管理实务</w:t>
            </w:r>
          </w:p>
          <w:p w:rsidR="00DF1E3A" w:rsidRPr="00DF1E3A" w:rsidRDefault="00DF1E3A" w:rsidP="00DF1E3A">
            <w:pPr>
              <w:numPr>
                <w:ilvl w:val="0"/>
                <w:numId w:val="6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工程索赔实务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20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ind w:firstLineChars="50" w:firstLine="9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10</w:t>
            </w:r>
          </w:p>
        </w:tc>
      </w:tr>
      <w:tr w:rsidR="00DF1E3A" w:rsidRPr="00DF1E3A" w:rsidTr="00A73CB3">
        <w:trPr>
          <w:trHeight w:val="317"/>
        </w:trPr>
        <w:tc>
          <w:tcPr>
            <w:tcW w:w="467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538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4294" w:type="dxa"/>
            <w:vMerge/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F56D44" w:rsidP="00DF1E3A">
            <w:pPr>
              <w:widowControl/>
              <w:spacing w:line="276" w:lineRule="auto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期末考试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E3A" w:rsidRDefault="00DF1E3A" w:rsidP="00DF1E3A">
            <w:pPr>
              <w:spacing w:line="276" w:lineRule="auto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5</w:t>
            </w:r>
          </w:p>
        </w:tc>
      </w:tr>
    </w:tbl>
    <w:p w:rsidR="00DF1E3A" w:rsidRPr="00DF1E3A" w:rsidRDefault="00DF1E3A" w:rsidP="00DF1E3A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r w:rsidRPr="00DF1E3A"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 w:rsidRPr="00DF1E3A">
        <w:rPr>
          <w:rFonts w:ascii="Times New Roman" w:eastAsia="楷体" w:hAnsi="Times New Roman"/>
          <w:sz w:val="18"/>
          <w:szCs w:val="18"/>
        </w:rPr>
        <w:t>一评价</w:t>
      </w:r>
      <w:proofErr w:type="gramEnd"/>
      <w:r w:rsidRPr="00DF1E3A">
        <w:rPr>
          <w:rFonts w:ascii="Times New Roman" w:eastAsia="楷体" w:hAnsi="Times New Roman"/>
          <w:sz w:val="18"/>
          <w:szCs w:val="18"/>
        </w:rPr>
        <w:t>方式目标分值之和为</w:t>
      </w:r>
      <w:r w:rsidRPr="00DF1E3A">
        <w:rPr>
          <w:rFonts w:ascii="Times New Roman" w:eastAsia="楷体" w:hAnsi="Times New Roman"/>
          <w:sz w:val="18"/>
          <w:szCs w:val="18"/>
        </w:rPr>
        <w:t>100</w:t>
      </w:r>
      <w:r w:rsidRPr="00DF1E3A">
        <w:rPr>
          <w:rFonts w:ascii="Times New Roman" w:eastAsia="楷体" w:hAnsi="Times New Roman"/>
          <w:sz w:val="18"/>
          <w:szCs w:val="18"/>
        </w:rPr>
        <w:t>。</w:t>
      </w:r>
    </w:p>
    <w:p w:rsidR="00DF1E3A" w:rsidRPr="00DF1E3A" w:rsidRDefault="00DF1E3A" w:rsidP="00DF1E3A">
      <w:pPr>
        <w:keepNext/>
        <w:keepLines/>
        <w:numPr>
          <w:ilvl w:val="2"/>
          <w:numId w:val="0"/>
        </w:numPr>
        <w:spacing w:beforeLines="100" w:before="312" w:afterLines="50" w:after="156"/>
        <w:ind w:firstLineChars="200" w:firstLine="482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DF1E3A">
        <w:rPr>
          <w:rFonts w:ascii="Times New Roman" w:eastAsia="仿宋" w:hAnsi="Times New Roman" w:hint="eastAsia"/>
          <w:b/>
          <w:kern w:val="44"/>
          <w:sz w:val="24"/>
          <w:szCs w:val="32"/>
        </w:rPr>
        <w:t>（三）课程考核评价标准</w:t>
      </w:r>
    </w:p>
    <w:p w:rsidR="00DF1E3A" w:rsidRPr="00DF1E3A" w:rsidRDefault="00DF1E3A" w:rsidP="00DF1E3A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DF1E3A">
        <w:rPr>
          <w:rFonts w:ascii="Times New Roman" w:eastAsia="楷体" w:hAnsi="Times New Roman"/>
          <w:b/>
          <w:sz w:val="24"/>
          <w:szCs w:val="24"/>
        </w:rPr>
        <w:t>表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>4</w:t>
      </w:r>
      <w:r w:rsidRPr="00DF1E3A">
        <w:rPr>
          <w:rFonts w:ascii="Times New Roman" w:eastAsia="楷体" w:hAnsi="Times New Roman"/>
          <w:b/>
          <w:sz w:val="24"/>
          <w:szCs w:val="24"/>
        </w:rPr>
        <w:t xml:space="preserve"> 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>课程</w:t>
      </w:r>
      <w:r w:rsidRPr="00DF1E3A"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7169"/>
      </w:tblGrid>
      <w:tr w:rsidR="00DF1E3A" w:rsidRPr="00DF1E3A" w:rsidTr="00A73CB3">
        <w:trPr>
          <w:trHeight w:val="283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考核方式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评价标准</w:t>
            </w:r>
          </w:p>
        </w:tc>
      </w:tr>
      <w:tr w:rsidR="00DF1E3A" w:rsidRPr="00DF1E3A" w:rsidTr="00A73CB3">
        <w:trPr>
          <w:trHeight w:val="397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课堂表现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890A3E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Cs/>
                <w:color w:val="000000"/>
                <w:sz w:val="18"/>
                <w:szCs w:val="18"/>
              </w:rPr>
              <w:t>课堂表现通过学生课堂中案例研讨过程中的表现给分，</w:t>
            </w:r>
            <w:r w:rsidR="00DF1E3A"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100</w:t>
            </w:r>
            <w:r w:rsidR="00DF1E3A"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分制评分，</w:t>
            </w:r>
            <w:r w:rsidR="00DF1E3A"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标准如下：</w:t>
            </w:r>
          </w:p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（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1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）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100</w:t>
            </w:r>
            <w:r w:rsidR="007C371F"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</w:t>
            </w:r>
            <w:r w:rsidRPr="00DF1E3A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≥90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案例研讨时回答问题全面准确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;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积极参加讨论、</w:t>
            </w:r>
            <w:r w:rsidR="00E55AFC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能主动结合安全性、适用性、经济性等进行简要讨论，展现出强烈的工程管理和经济意识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。</w:t>
            </w:r>
          </w:p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lastRenderedPageBreak/>
              <w:t>（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）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90&gt;</w:t>
            </w:r>
            <w:r w:rsidRPr="00DF1E3A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≥80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案例研讨时回答问题全面但准确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;</w:t>
            </w:r>
            <w:r w:rsidR="00E55AFC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积极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参加讨论、</w:t>
            </w:r>
            <w:r w:rsidR="00E55AFC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在案例明确要求时，能对安全性或经济性等因素进行正确分析与表述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。</w:t>
            </w:r>
          </w:p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（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）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80&gt;</w:t>
            </w:r>
            <w:r w:rsidRPr="00DF1E3A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≥70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案例研讨时回答问题不全面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;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参加讨论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时基本观点正确，且能提出合</w:t>
            </w:r>
            <w:proofErr w:type="gramStart"/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规</w:t>
            </w:r>
            <w:proofErr w:type="gramEnd"/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性的合同策略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。</w:t>
            </w:r>
          </w:p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（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4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）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70&gt;</w:t>
            </w:r>
            <w:r w:rsidRPr="00DF1E3A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≥60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案例研讨时回答问题不全面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;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参加讨论时部分观点有误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;</w:t>
            </w:r>
            <w:r w:rsidR="001818D2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能提出合同策略</w:t>
            </w:r>
            <w:r w:rsidRPr="00DF1E3A">
              <w:rPr>
                <w:rFonts w:ascii="Times New Roman" w:eastAsia="楷体" w:hAnsi="Times New Roman"/>
                <w:bCs/>
                <w:sz w:val="18"/>
                <w:szCs w:val="18"/>
              </w:rPr>
              <w:t>。</w:t>
            </w:r>
          </w:p>
          <w:p w:rsidR="00DF1E3A" w:rsidRPr="00DF1E3A" w:rsidRDefault="00DF1E3A" w:rsidP="00890A3E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（</w:t>
            </w:r>
            <w:r w:rsidRPr="00DF1E3A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5</w:t>
            </w:r>
            <w:r w:rsidRPr="00DF1E3A">
              <w:rPr>
                <w:rFonts w:ascii="Times New Roman" w:eastAsia="楷体" w:hAnsi="Times New Roman"/>
                <w:bCs/>
                <w:iCs/>
                <w:sz w:val="18"/>
                <w:szCs w:val="18"/>
              </w:rPr>
              <w:t>）</w:t>
            </w:r>
            <w:r w:rsidRPr="00DF1E3A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&lt;60</w:t>
            </w:r>
            <w:r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 w:rsidR="00890A3E" w:rsidRPr="001818D2">
              <w:rPr>
                <w:rFonts w:ascii="Times New Roman" w:eastAsia="楷体" w:hAnsi="Times New Roman"/>
                <w:bCs/>
                <w:sz w:val="18"/>
                <w:szCs w:val="18"/>
              </w:rPr>
              <w:t>案例研讨时回</w:t>
            </w:r>
            <w:r w:rsidR="00890A3E" w:rsidRPr="001818D2">
              <w:rPr>
                <w:rFonts w:ascii="楷体" w:eastAsia="楷体" w:hAnsi="楷体" w:hint="eastAsia"/>
                <w:bCs/>
                <w:sz w:val="18"/>
                <w:szCs w:val="18"/>
              </w:rPr>
              <w:t>答问题有误</w:t>
            </w:r>
            <w:r w:rsidR="001818D2" w:rsidRPr="001818D2">
              <w:rPr>
                <w:rFonts w:ascii="楷体" w:eastAsia="楷体" w:hAnsi="楷体" w:hint="eastAsia"/>
                <w:bCs/>
                <w:sz w:val="18"/>
                <w:szCs w:val="18"/>
              </w:rPr>
              <w:t>;</w:t>
            </w:r>
            <w:r w:rsidR="00890A3E" w:rsidRPr="001818D2">
              <w:rPr>
                <w:rFonts w:ascii="楷体" w:eastAsia="楷体" w:hAnsi="楷体" w:hint="eastAsia"/>
                <w:bCs/>
                <w:sz w:val="18"/>
                <w:szCs w:val="18"/>
              </w:rPr>
              <w:t>不参加讨论、</w:t>
            </w:r>
            <w:r w:rsidR="001818D2" w:rsidRPr="001818D2">
              <w:rPr>
                <w:rFonts w:ascii="楷体" w:eastAsia="楷体" w:hAnsi="楷体" w:hint="eastAsia"/>
                <w:bCs/>
                <w:sz w:val="18"/>
                <w:szCs w:val="18"/>
              </w:rPr>
              <w:t>或观点错误且无法正确做出决策</w:t>
            </w:r>
            <w:r w:rsidR="00890A3E" w:rsidRPr="001818D2">
              <w:rPr>
                <w:rFonts w:ascii="楷体" w:eastAsia="楷体" w:hAnsi="楷体" w:hint="eastAsia"/>
                <w:bCs/>
                <w:sz w:val="18"/>
                <w:szCs w:val="18"/>
              </w:rPr>
              <w:t>。</w:t>
            </w:r>
          </w:p>
        </w:tc>
      </w:tr>
      <w:tr w:rsidR="00DF1E3A" w:rsidRPr="00DF1E3A" w:rsidTr="00A73CB3">
        <w:trPr>
          <w:trHeight w:val="2413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lastRenderedPageBreak/>
              <w:t>平时作业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每次</w:t>
            </w:r>
            <w:proofErr w:type="gramStart"/>
            <w:r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作业按</w:t>
            </w:r>
            <w:proofErr w:type="gramEnd"/>
            <w:r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100</w:t>
            </w:r>
            <w:r w:rsidRPr="00DF1E3A">
              <w:rPr>
                <w:rFonts w:ascii="Times New Roman" w:eastAsia="楷体" w:hAnsi="Times New Roman"/>
                <w:bCs/>
                <w:color w:val="000000"/>
                <w:sz w:val="18"/>
                <w:szCs w:val="18"/>
              </w:rPr>
              <w:t>分制单独评分，</w:t>
            </w: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标准如下：</w:t>
            </w:r>
          </w:p>
          <w:p w:rsidR="00DF1E3A" w:rsidRPr="00125EC3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（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1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）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100</w:t>
            </w:r>
            <w:r w:rsidR="007C371F" w:rsidRPr="00DF1E3A">
              <w:rPr>
                <w:rFonts w:ascii="Times New Roman" w:eastAsia="楷体" w:hAnsi="Times New Roman"/>
                <w:b/>
                <w:sz w:val="18"/>
                <w:szCs w:val="18"/>
              </w:rPr>
              <w:t>≥</w:t>
            </w:r>
            <w:r w:rsidRPr="00125EC3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≥90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：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解题步骤完整、逻辑清晰，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作业完整，思路清晰，准确率大于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90 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％，字迹工整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。</w:t>
            </w:r>
          </w:p>
          <w:p w:rsidR="00DF1E3A" w:rsidRPr="00125EC3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（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2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）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90&gt;</w:t>
            </w:r>
            <w:r w:rsidRPr="00125EC3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≥80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：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解题步骤完整，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逻辑基本清晰，作业完整，准确率大于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80 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％，字迹工整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。</w:t>
            </w:r>
          </w:p>
          <w:p w:rsidR="00DF1E3A" w:rsidRPr="00125EC3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（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3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）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80&gt;</w:t>
            </w:r>
            <w:r w:rsidRPr="00125EC3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≥70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：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主要解题步骤齐全，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逻辑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偶有瑕疵，存在个别笔误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作业内容不完整，准确率大于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 xml:space="preserve">70 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％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。</w:t>
            </w:r>
          </w:p>
          <w:p w:rsidR="00DF1E3A" w:rsidRPr="00125EC3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（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4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）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7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0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&gt;</w:t>
            </w:r>
            <w:r w:rsidRPr="00125EC3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≥60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：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解题步骤不完整、较凌乱，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不交作业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2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次以内，准确率大于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60 %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。</w:t>
            </w:r>
          </w:p>
          <w:p w:rsidR="00DF1E3A" w:rsidRPr="00DF1E3A" w:rsidRDefault="00DF1E3A" w:rsidP="00DF1E3A">
            <w:pPr>
              <w:numPr>
                <w:ilvl w:val="0"/>
                <w:numId w:val="1"/>
              </w:numPr>
              <w:ind w:firstLineChars="200" w:firstLine="36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125EC3">
              <w:rPr>
                <w:rFonts w:ascii="Times New Roman" w:eastAsia="楷体" w:hAnsi="Times New Roman" w:hint="eastAsia"/>
                <w:bCs/>
                <w:iCs/>
                <w:sz w:val="18"/>
                <w:szCs w:val="18"/>
              </w:rPr>
              <w:t>（</w:t>
            </w:r>
            <w:r w:rsidRPr="00125EC3">
              <w:rPr>
                <w:rFonts w:ascii="Times New Roman" w:eastAsia="楷体" w:hAnsi="Times New Roman" w:hint="eastAsia"/>
                <w:bCs/>
                <w:iCs/>
                <w:sz w:val="18"/>
                <w:szCs w:val="18"/>
              </w:rPr>
              <w:t>5</w:t>
            </w:r>
            <w:r w:rsidRPr="00125EC3">
              <w:rPr>
                <w:rFonts w:ascii="Times New Roman" w:eastAsia="楷体" w:hAnsi="Times New Roman" w:hint="eastAsia"/>
                <w:bCs/>
                <w:iCs/>
                <w:sz w:val="18"/>
                <w:szCs w:val="18"/>
              </w:rPr>
              <w:t>）</w:t>
            </w:r>
            <w:r w:rsidRPr="00125EC3"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 w:rsidRPr="00125EC3">
              <w:rPr>
                <w:rFonts w:ascii="Times New Roman" w:eastAsia="楷体" w:hAnsi="Times New Roman"/>
                <w:b/>
                <w:sz w:val="18"/>
                <w:szCs w:val="18"/>
              </w:rPr>
              <w:t>&lt;60</w:t>
            </w:r>
            <w:r w:rsidRPr="00125EC3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：</w:t>
            </w:r>
            <w:r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解题步骤严重缺失混乱，</w:t>
            </w:r>
            <w:r w:rsidR="00125EC3" w:rsidRPr="00125EC3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不交作业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3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次以上，准确率小于</w:t>
            </w:r>
            <w:r w:rsidR="00125EC3" w:rsidRPr="00125EC3">
              <w:rPr>
                <w:rFonts w:ascii="Times New Roman" w:eastAsia="楷体" w:hAnsi="Times New Roman"/>
                <w:bCs/>
                <w:sz w:val="18"/>
                <w:szCs w:val="18"/>
              </w:rPr>
              <w:t>60 %</w:t>
            </w: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。</w:t>
            </w:r>
          </w:p>
        </w:tc>
      </w:tr>
      <w:tr w:rsidR="00DF1E3A" w:rsidRPr="00DF1E3A" w:rsidTr="00A73CB3">
        <w:trPr>
          <w:trHeight w:val="397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阶段性测试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阶段性测试试卷评分标准</w:t>
            </w:r>
          </w:p>
        </w:tc>
      </w:tr>
      <w:tr w:rsidR="00DF1E3A" w:rsidRPr="00DF1E3A" w:rsidTr="00A73CB3">
        <w:trPr>
          <w:trHeight w:val="397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期末考试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DF1E3A" w:rsidRPr="00DF1E3A" w:rsidRDefault="00DF1E3A" w:rsidP="00DF1E3A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 w:rsidRPr="00DF1E3A"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期末考试试卷评分标准</w:t>
            </w:r>
          </w:p>
        </w:tc>
      </w:tr>
    </w:tbl>
    <w:p w:rsidR="00DF1E3A" w:rsidRPr="00DF1E3A" w:rsidRDefault="00DF1E3A" w:rsidP="00DF1E3A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DF1E3A">
        <w:rPr>
          <w:rFonts w:ascii="Times New Roman" w:eastAsia="黑体" w:hAnsi="Times New Roman" w:hint="eastAsia"/>
          <w:kern w:val="44"/>
          <w:sz w:val="24"/>
          <w:szCs w:val="44"/>
        </w:rPr>
        <w:t>五、课程评价</w:t>
      </w:r>
    </w:p>
    <w:p w:rsidR="00DF1E3A" w:rsidRPr="00DF1E3A" w:rsidRDefault="00DF1E3A" w:rsidP="00DF1E3A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DF1E3A">
        <w:rPr>
          <w:rFonts w:ascii="Times New Roman" w:eastAsia="仿宋" w:hAnsi="Times New Roman"/>
          <w:iCs/>
          <w:sz w:val="24"/>
          <w:szCs w:val="24"/>
        </w:rPr>
        <w:t>课程评价主要是本门课程的课程目标达成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情况</w:t>
      </w:r>
      <w:r w:rsidRPr="00DF1E3A">
        <w:rPr>
          <w:rFonts w:ascii="Times New Roman" w:eastAsia="仿宋" w:hAnsi="Times New Roman"/>
          <w:iCs/>
          <w:sz w:val="24"/>
          <w:szCs w:val="24"/>
        </w:rPr>
        <w:t>评价。课程目标达成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情况</w:t>
      </w:r>
      <w:r w:rsidRPr="00DF1E3A">
        <w:rPr>
          <w:rFonts w:ascii="Times New Roman" w:eastAsia="仿宋" w:hAnsi="Times New Roman"/>
          <w:iCs/>
          <w:sz w:val="24"/>
          <w:szCs w:val="24"/>
        </w:rPr>
        <w:t>评价</w:t>
      </w:r>
      <w:r w:rsidRPr="00DF1E3A">
        <w:rPr>
          <w:rFonts w:ascii="Times New Roman" w:eastAsia="仿宋" w:hAnsi="Times New Roman" w:hint="eastAsia"/>
          <w:iCs/>
          <w:sz w:val="24"/>
          <w:szCs w:val="24"/>
        </w:rPr>
        <w:t>采用直接与间接相结合的评价方式，通过课程考核成绩分析法、课程调查问卷与访谈法开展。</w:t>
      </w:r>
    </w:p>
    <w:p w:rsidR="00125EC3" w:rsidRPr="00125EC3" w:rsidRDefault="00DF1E3A" w:rsidP="00125EC3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DF1E3A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 xml:space="preserve">5 </w:t>
      </w:r>
      <w:r w:rsidRPr="00DF1E3A">
        <w:rPr>
          <w:rFonts w:ascii="Times New Roman" w:eastAsia="楷体" w:hAnsi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425"/>
        <w:gridCol w:w="527"/>
        <w:gridCol w:w="607"/>
        <w:gridCol w:w="835"/>
        <w:gridCol w:w="3355"/>
      </w:tblGrid>
      <w:tr w:rsidR="00125EC3" w:rsidTr="00AA5942">
        <w:trPr>
          <w:trHeight w:val="425"/>
          <w:tblHeader/>
        </w:trPr>
        <w:tc>
          <w:tcPr>
            <w:tcW w:w="704" w:type="dxa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952" w:type="dxa"/>
            <w:gridSpan w:val="2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607" w:type="dxa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35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125EC3" w:rsidTr="00AA5942">
        <w:trPr>
          <w:trHeight w:val="312"/>
        </w:trPr>
        <w:tc>
          <w:tcPr>
            <w:tcW w:w="704" w:type="dxa"/>
            <w:vMerge w:val="restart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lang w:bidi="ar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3355" w:type="dxa"/>
            <w:vMerge w:val="restart"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position w:val="-24"/>
              </w:rPr>
              <w:object w:dxaOrig="4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7" type="#_x0000_t75" style="width:157.5pt;height:24pt" o:ole="">
                  <v:imagedata r:id="rId7" o:title=""/>
                </v:shape>
                <o:OLEObject Type="Embed" ProgID="Equation.DSMT4" ShapeID="_x0000_i1477" DrawAspect="Content" ObjectID="_1844233719" r:id="rId8"/>
              </w:object>
            </w:r>
          </w:p>
        </w:tc>
      </w:tr>
      <w:tr w:rsidR="00125EC3" w:rsidTr="00AA5942">
        <w:trPr>
          <w:trHeight w:val="455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404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 w:val="restart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lang w:bidi="ar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3355" w:type="dxa"/>
            <w:vMerge w:val="restart"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position w:val="-24"/>
              </w:rPr>
              <w:object w:dxaOrig="4040" w:dyaOrig="620">
                <v:shape id="_x0000_i1478" type="#_x0000_t75" style="width:162pt;height:24.75pt" o:ole="">
                  <v:imagedata r:id="rId9" o:title=""/>
                </v:shape>
                <o:OLEObject Type="Embed" ProgID="Equation.DSMT4" ShapeID="_x0000_i1478" DrawAspect="Content" ObjectID="_1844233720" r:id="rId10"/>
              </w:object>
            </w: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i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i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 w:val="restart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lang w:bidi="ar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pStyle w:val="af3"/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3355" w:type="dxa"/>
            <w:vMerge w:val="restart"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i/>
                <w:position w:val="-24"/>
              </w:rPr>
              <w:object w:dxaOrig="4060" w:dyaOrig="620">
                <v:shape id="_x0000_i1479" type="#_x0000_t75" style="width:163.5pt;height:24.75pt" o:ole="">
                  <v:imagedata r:id="rId11" o:title=""/>
                </v:shape>
                <o:OLEObject Type="Embed" ProgID="Equation.DSMT4" ShapeID="_x0000_i1479" DrawAspect="Content" ObjectID="_1844233721" r:id="rId12"/>
              </w:object>
            </w: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i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704" w:type="dxa"/>
            <w:vMerge/>
            <w:vAlign w:val="center"/>
          </w:tcPr>
          <w:p w:rsidR="00125EC3" w:rsidRDefault="00125EC3" w:rsidP="00922958">
            <w:pPr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709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EC3" w:rsidRDefault="00125EC3" w:rsidP="0092295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835" w:type="dxa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355" w:type="dxa"/>
            <w:vMerge/>
            <w:noWrap/>
            <w:vAlign w:val="center"/>
          </w:tcPr>
          <w:p w:rsidR="00125EC3" w:rsidRDefault="00125EC3" w:rsidP="009229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EC3" w:rsidTr="00AA5942">
        <w:trPr>
          <w:trHeight w:val="312"/>
        </w:trPr>
        <w:tc>
          <w:tcPr>
            <w:tcW w:w="4941" w:type="dxa"/>
            <w:gridSpan w:val="7"/>
            <w:vAlign w:val="center"/>
          </w:tcPr>
          <w:p w:rsidR="00125EC3" w:rsidRDefault="00125EC3" w:rsidP="0092295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355" w:type="dxa"/>
            <w:noWrap/>
            <w:vAlign w:val="center"/>
          </w:tcPr>
          <w:p w:rsidR="00125EC3" w:rsidRDefault="00125EC3" w:rsidP="009229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4"/>
                <w:sz w:val="18"/>
                <w:szCs w:val="18"/>
              </w:rPr>
              <w:object w:dxaOrig="1470" w:dyaOrig="285">
                <v:shape id="_x0000_i1052" type="#_x0000_t75" style="width:73.5pt;height:14.25pt" o:ole="">
                  <v:imagedata r:id="rId13" o:title=""/>
                </v:shape>
                <o:OLEObject Type="Embed" ProgID="Equation.DSMT4" ShapeID="_x0000_i1052" DrawAspect="Content" ObjectID="_1844233722" r:id="rId14"/>
              </w:object>
            </w:r>
          </w:p>
        </w:tc>
      </w:tr>
    </w:tbl>
    <w:p w:rsidR="00125EC3" w:rsidRDefault="00125EC3" w:rsidP="00125EC3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注：</w:t>
      </w:r>
      <w:r>
        <w:rPr>
          <w:rFonts w:ascii="Times New Roman" w:eastAsia="楷体" w:hAnsi="Times New Roman"/>
          <w:bCs/>
          <w:sz w:val="18"/>
          <w:szCs w:val="18"/>
        </w:rPr>
        <w:t>1.</w:t>
      </w:r>
      <w:r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:rsidR="00125EC3" w:rsidRDefault="00125EC3" w:rsidP="00125EC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lastRenderedPageBreak/>
        <w:t>2.</w:t>
      </w:r>
      <w:r>
        <w:rPr>
          <w:rFonts w:ascii="Times New Roman" w:eastAsia="楷体" w:hAnsi="Times New Roman"/>
          <w:bCs/>
          <w:sz w:val="18"/>
          <w:szCs w:val="18"/>
        </w:rPr>
        <w:t>目标分值为课程目标对应评价方式的满分，同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一评价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方式目标分值之和为</w:t>
      </w:r>
      <w:r>
        <w:rPr>
          <w:rFonts w:ascii="Times New Roman" w:eastAsia="楷体" w:hAnsi="Times New Roman"/>
          <w:bCs/>
          <w:sz w:val="18"/>
          <w:szCs w:val="18"/>
        </w:rPr>
        <w:t>100</w:t>
      </w:r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125EC3" w:rsidRDefault="00125EC3" w:rsidP="00125EC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3.</w:t>
      </w:r>
      <w:r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125EC3" w:rsidRDefault="00125EC3" w:rsidP="00125EC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4.</w:t>
      </w:r>
      <w:r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/>
          <w:bCs/>
          <w:sz w:val="18"/>
          <w:szCs w:val="18"/>
        </w:rPr>
        <w:t>/</w:t>
      </w:r>
      <w:r>
        <w:rPr>
          <w:rFonts w:ascii="Times New Roman" w:eastAsia="楷体" w:hAnsi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/>
          <w:bCs/>
          <w:sz w:val="18"/>
          <w:szCs w:val="18"/>
        </w:rPr>
        <w:t>*</w:t>
      </w:r>
      <w:r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125EC3" w:rsidRDefault="00125EC3" w:rsidP="00125EC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5.</w:t>
      </w:r>
      <w:r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6753AB" w:rsidRDefault="006753AB" w:rsidP="006753AB">
      <w:pPr>
        <w:numPr>
          <w:ilvl w:val="0"/>
          <w:numId w:val="1"/>
        </w:numPr>
        <w:spacing w:line="360" w:lineRule="auto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</w:p>
    <w:p w:rsidR="006753AB" w:rsidRPr="006753AB" w:rsidRDefault="006C0B2A" w:rsidP="006753AB">
      <w:pPr>
        <w:autoSpaceDE w:val="0"/>
        <w:autoSpaceDN w:val="0"/>
        <w:adjustRightInd w:val="0"/>
        <w:spacing w:line="360" w:lineRule="auto"/>
        <w:ind w:firstLine="600"/>
        <w:rPr>
          <w:rFonts w:ascii="Times New Roman" w:eastAsia="黑体" w:hAnsi="Times New Roman"/>
          <w:sz w:val="24"/>
          <w:szCs w:val="24"/>
          <w:lang w:val="zh-CN"/>
        </w:rPr>
      </w:pPr>
      <w:r>
        <w:rPr>
          <w:rFonts w:ascii="Times New Roman" w:eastAsia="黑体" w:hAnsi="Times New Roman" w:hint="eastAsia"/>
          <w:sz w:val="24"/>
          <w:szCs w:val="24"/>
          <w:lang w:val="zh-CN"/>
        </w:rPr>
        <w:t>六</w:t>
      </w:r>
      <w:r w:rsidR="006753AB" w:rsidRPr="006753AB">
        <w:rPr>
          <w:rFonts w:ascii="Times New Roman" w:eastAsia="黑体" w:hAnsi="Times New Roman"/>
          <w:sz w:val="24"/>
          <w:szCs w:val="24"/>
          <w:lang w:val="zh-CN"/>
        </w:rPr>
        <w:t>、课程资源</w:t>
      </w:r>
    </w:p>
    <w:p w:rsidR="006753AB" w:rsidRPr="006753AB" w:rsidRDefault="006753AB" w:rsidP="006753AB">
      <w:pPr>
        <w:autoSpaceDE w:val="0"/>
        <w:autoSpaceDN w:val="0"/>
        <w:adjustRightInd w:val="0"/>
        <w:spacing w:line="360" w:lineRule="auto"/>
        <w:ind w:firstLine="361"/>
        <w:rPr>
          <w:rFonts w:ascii="Times New Roman" w:eastAsia="仿宋" w:hAnsi="Times New Roman"/>
          <w:b/>
          <w:b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sz w:val="24"/>
          <w:szCs w:val="24"/>
          <w:lang w:val="zh-CN"/>
        </w:rPr>
        <w:t>（一）建议选用教材</w:t>
      </w:r>
    </w:p>
    <w:p w:rsidR="006753AB" w:rsidRPr="006753AB" w:rsidRDefault="007C371F" w:rsidP="006753AB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 xml:space="preserve">[1] </w:t>
      </w:r>
      <w:r w:rsidR="006753AB" w:rsidRPr="006753AB">
        <w:rPr>
          <w:rFonts w:ascii="Times New Roman" w:eastAsia="仿宋" w:hAnsi="Times New Roman"/>
          <w:sz w:val="24"/>
          <w:szCs w:val="24"/>
        </w:rPr>
        <w:t>朱宏亮、成虎编著：工程合同管理</w:t>
      </w:r>
      <w:r w:rsidR="006753AB" w:rsidRPr="006753AB">
        <w:rPr>
          <w:rFonts w:ascii="Times New Roman" w:eastAsia="仿宋" w:hAnsi="Times New Roman"/>
          <w:sz w:val="24"/>
          <w:szCs w:val="24"/>
        </w:rPr>
        <w:t>[M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]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 w:rsidR="006753AB" w:rsidRPr="006753AB">
        <w:rPr>
          <w:rFonts w:ascii="Times New Roman" w:eastAsia="仿宋" w:hAnsi="Times New Roman"/>
          <w:sz w:val="24"/>
          <w:szCs w:val="24"/>
        </w:rPr>
        <w:t>北京</w:t>
      </w:r>
      <w:r w:rsidR="006753AB" w:rsidRPr="006753AB">
        <w:rPr>
          <w:rFonts w:ascii="Times New Roman" w:eastAsia="仿宋" w:hAnsi="Times New Roman"/>
          <w:sz w:val="24"/>
          <w:szCs w:val="24"/>
        </w:rPr>
        <w:t>:</w:t>
      </w:r>
      <w:r w:rsidR="006753AB" w:rsidRPr="006753AB">
        <w:rPr>
          <w:rFonts w:ascii="Times New Roman" w:eastAsia="仿宋" w:hAnsi="Times New Roman"/>
          <w:sz w:val="24"/>
          <w:szCs w:val="24"/>
        </w:rPr>
        <w:t>中国建筑工业出版社</w:t>
      </w:r>
      <w:r w:rsidR="006753AB" w:rsidRPr="006753AB">
        <w:rPr>
          <w:rFonts w:ascii="Times New Roman" w:eastAsia="仿宋" w:hAnsi="Times New Roman"/>
          <w:sz w:val="24"/>
          <w:szCs w:val="24"/>
        </w:rPr>
        <w:t>,2006.</w:t>
      </w:r>
    </w:p>
    <w:p w:rsidR="006753AB" w:rsidRPr="006753AB" w:rsidRDefault="006753AB" w:rsidP="006753AB">
      <w:pPr>
        <w:autoSpaceDE w:val="0"/>
        <w:autoSpaceDN w:val="0"/>
        <w:adjustRightInd w:val="0"/>
        <w:spacing w:line="360" w:lineRule="auto"/>
        <w:ind w:firstLine="361"/>
        <w:rPr>
          <w:rFonts w:ascii="Times New Roman" w:eastAsia="仿宋" w:hAnsi="Times New Roman"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sz w:val="24"/>
          <w:szCs w:val="24"/>
          <w:lang w:val="zh-CN"/>
        </w:rPr>
        <w:t>（二）主要参考书目</w:t>
      </w:r>
    </w:p>
    <w:p w:rsidR="006753AB" w:rsidRPr="006753AB" w:rsidRDefault="006753AB" w:rsidP="006753AB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/>
          <w:sz w:val="24"/>
          <w:szCs w:val="24"/>
          <w:lang w:val="zh-CN"/>
        </w:rPr>
      </w:pPr>
      <w:r w:rsidRPr="006753AB">
        <w:rPr>
          <w:rFonts w:ascii="Times New Roman" w:eastAsia="仿宋" w:hAnsi="Times New Roman"/>
          <w:sz w:val="24"/>
          <w:szCs w:val="24"/>
          <w:lang w:val="zh-CN"/>
        </w:rPr>
        <w:t>[1]</w:t>
      </w:r>
      <w:r w:rsidR="007C371F">
        <w:rPr>
          <w:rFonts w:ascii="Times New Roman" w:eastAsia="仿宋" w:hAnsi="Times New Roman"/>
          <w:sz w:val="24"/>
          <w:szCs w:val="24"/>
          <w:lang w:val="zh-CN"/>
        </w:rPr>
        <w:t xml:space="preserve">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中国建设监理协会编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《建设工程合同管理》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[M</w:t>
      </w:r>
      <w:bookmarkStart w:id="3" w:name="_Hlk219995536"/>
      <w:r w:rsidRPr="006753AB">
        <w:rPr>
          <w:rFonts w:ascii="Times New Roman" w:eastAsia="仿宋" w:hAnsi="Times New Roman"/>
          <w:sz w:val="24"/>
          <w:szCs w:val="24"/>
          <w:lang w:val="zh-CN"/>
        </w:rPr>
        <w:t>]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bookmarkEnd w:id="3"/>
      <w:r w:rsidRPr="006753AB">
        <w:rPr>
          <w:rFonts w:ascii="Times New Roman" w:eastAsia="仿宋" w:hAnsi="Times New Roman"/>
          <w:sz w:val="24"/>
          <w:szCs w:val="24"/>
        </w:rPr>
        <w:t xml:space="preserve">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北京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: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知识产权出版社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,2010.</w:t>
      </w:r>
    </w:p>
    <w:p w:rsidR="006753AB" w:rsidRPr="006753AB" w:rsidRDefault="006753AB" w:rsidP="006753AB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/>
          <w:sz w:val="24"/>
          <w:szCs w:val="24"/>
          <w:lang w:val="zh-CN"/>
        </w:rPr>
      </w:pPr>
      <w:r w:rsidRPr="006753AB">
        <w:rPr>
          <w:rFonts w:ascii="Times New Roman" w:eastAsia="仿宋" w:hAnsi="Times New Roman"/>
          <w:sz w:val="24"/>
          <w:szCs w:val="24"/>
          <w:lang w:val="zh-CN"/>
        </w:rPr>
        <w:t>[2]</w:t>
      </w:r>
      <w:r w:rsidR="007C371F">
        <w:rPr>
          <w:rFonts w:ascii="Times New Roman" w:eastAsia="仿宋" w:hAnsi="Times New Roman"/>
          <w:sz w:val="24"/>
          <w:szCs w:val="24"/>
          <w:lang w:val="zh-CN"/>
        </w:rPr>
        <w:t xml:space="preserve">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成虎编著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《建筑工程合同管理与索赔》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[M]</w:t>
      </w:r>
      <w:r w:rsidRPr="006753AB">
        <w:rPr>
          <w:rFonts w:ascii="Times New Roman" w:eastAsia="仿宋" w:hAnsi="Times New Roman"/>
          <w:sz w:val="24"/>
          <w:szCs w:val="24"/>
        </w:rPr>
        <w:t xml:space="preserve">.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北京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: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中国建筑工业出版社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,2008.</w:t>
      </w:r>
    </w:p>
    <w:p w:rsidR="006753AB" w:rsidRPr="006753AB" w:rsidRDefault="006753AB" w:rsidP="007C371F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Times New Roman" w:eastAsia="仿宋" w:hAnsi="Times New Roman"/>
          <w:sz w:val="24"/>
          <w:szCs w:val="24"/>
          <w:lang w:val="zh-CN"/>
        </w:rPr>
      </w:pPr>
      <w:r w:rsidRPr="006753AB">
        <w:rPr>
          <w:rFonts w:ascii="Times New Roman" w:eastAsia="仿宋" w:hAnsi="Times New Roman"/>
          <w:sz w:val="24"/>
          <w:szCs w:val="24"/>
          <w:lang w:val="zh-CN"/>
        </w:rPr>
        <w:t>[3]</w:t>
      </w:r>
      <w:r w:rsidR="007C371F">
        <w:rPr>
          <w:rFonts w:ascii="Times New Roman" w:eastAsia="仿宋" w:hAnsi="Times New Roman"/>
          <w:sz w:val="24"/>
          <w:szCs w:val="24"/>
          <w:lang w:val="zh-CN"/>
        </w:rPr>
        <w:t xml:space="preserve">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国际咨询工程师联合会编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,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朱锦林等译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《施工合同条件》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FIDIC[M]</w:t>
      </w:r>
      <w:r w:rsidRPr="006753AB">
        <w:rPr>
          <w:rFonts w:ascii="Times New Roman" w:eastAsia="仿宋" w:hAnsi="Times New Roman"/>
          <w:sz w:val="24"/>
          <w:szCs w:val="24"/>
        </w:rPr>
        <w:t xml:space="preserve">.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北京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: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机械工业出版社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.2002.</w:t>
      </w:r>
    </w:p>
    <w:p w:rsidR="007C371F" w:rsidRDefault="006753AB" w:rsidP="007C371F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="Times New Roman" w:eastAsia="仿宋" w:hAnsi="Times New Roman"/>
          <w:sz w:val="24"/>
          <w:szCs w:val="24"/>
          <w:lang w:val="zh-CN"/>
        </w:rPr>
      </w:pPr>
      <w:r w:rsidRPr="006753AB">
        <w:rPr>
          <w:rFonts w:ascii="Times New Roman" w:eastAsia="仿宋" w:hAnsi="Times New Roman"/>
          <w:sz w:val="24"/>
          <w:szCs w:val="24"/>
          <w:lang w:val="zh-CN"/>
        </w:rPr>
        <w:t>[4]</w:t>
      </w:r>
      <w:r w:rsidR="007C371F">
        <w:rPr>
          <w:rFonts w:ascii="Times New Roman" w:eastAsia="仿宋" w:hAnsi="Times New Roman"/>
          <w:sz w:val="24"/>
          <w:szCs w:val="24"/>
          <w:lang w:val="zh-CN"/>
        </w:rPr>
        <w:t xml:space="preserve">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注册建造师考试教材</w:t>
      </w:r>
      <w:r w:rsidRPr="006753AB">
        <w:rPr>
          <w:rFonts w:ascii="Times New Roman" w:eastAsia="仿宋" w:hAnsi="Times New Roman"/>
          <w:sz w:val="24"/>
          <w:szCs w:val="24"/>
        </w:rPr>
        <w:t>.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《建筑工程相关法律法规》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[M]</w:t>
      </w:r>
      <w:r w:rsidRPr="006753AB">
        <w:rPr>
          <w:rFonts w:ascii="Times New Roman" w:eastAsia="仿宋" w:hAnsi="Times New Roman"/>
          <w:sz w:val="24"/>
          <w:szCs w:val="24"/>
        </w:rPr>
        <w:t xml:space="preserve">. 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北京</w:t>
      </w:r>
      <w:r w:rsidRPr="006753AB">
        <w:rPr>
          <w:rFonts w:ascii="Times New Roman" w:eastAsia="仿宋" w:hAnsi="Times New Roman"/>
          <w:sz w:val="24"/>
          <w:szCs w:val="24"/>
        </w:rPr>
        <w:t>: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中国建筑工业出版社</w:t>
      </w:r>
      <w:r w:rsidRPr="006753AB">
        <w:rPr>
          <w:rFonts w:ascii="Times New Roman" w:eastAsia="仿宋" w:hAnsi="Times New Roman"/>
          <w:sz w:val="24"/>
          <w:szCs w:val="24"/>
          <w:lang w:val="zh-CN"/>
        </w:rPr>
        <w:t>.</w:t>
      </w:r>
      <w:r w:rsidR="007C371F">
        <w:rPr>
          <w:rFonts w:ascii="Times New Roman" w:eastAsia="仿宋" w:hAnsi="Times New Roman"/>
          <w:sz w:val="24"/>
          <w:szCs w:val="24"/>
          <w:lang w:val="zh-CN"/>
        </w:rPr>
        <w:t>2011</w:t>
      </w:r>
    </w:p>
    <w:p w:rsidR="006753AB" w:rsidRPr="006753AB" w:rsidRDefault="006753AB" w:rsidP="007C371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 w:rsidRPr="006753AB">
        <w:rPr>
          <w:rFonts w:ascii="Times New Roman" w:eastAsia="仿宋" w:hAnsi="Times New Roman"/>
          <w:b/>
          <w:bCs/>
          <w:sz w:val="24"/>
          <w:szCs w:val="24"/>
          <w:lang w:val="zh-CN"/>
        </w:rPr>
        <w:t>（三）其它课程资源</w:t>
      </w:r>
    </w:p>
    <w:p w:rsidR="007C371F" w:rsidRDefault="007C371F" w:rsidP="006753AB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 xml:space="preserve">1. </w:t>
      </w:r>
      <w:r w:rsidR="006753AB" w:rsidRPr="006753AB">
        <w:rPr>
          <w:rFonts w:ascii="Times New Roman" w:eastAsia="仿宋" w:hAnsi="Times New Roman"/>
          <w:sz w:val="24"/>
          <w:szCs w:val="24"/>
          <w:lang w:val="zh-CN"/>
        </w:rPr>
        <w:t>爱课程</w:t>
      </w:r>
      <w:r w:rsidR="006753AB" w:rsidRPr="006753AB">
        <w:rPr>
          <w:rFonts w:ascii="Times New Roman" w:eastAsia="仿宋" w:hAnsi="Times New Roman"/>
          <w:sz w:val="24"/>
          <w:szCs w:val="24"/>
        </w:rPr>
        <w:t xml:space="preserve"> </w:t>
      </w:r>
    </w:p>
    <w:p w:rsidR="006753AB" w:rsidRPr="007C371F" w:rsidRDefault="006753AB" w:rsidP="007C371F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C371F">
        <w:rPr>
          <w:rFonts w:ascii="Times New Roman" w:eastAsia="仿宋" w:hAnsi="Times New Roman"/>
          <w:sz w:val="24"/>
          <w:szCs w:val="24"/>
        </w:rPr>
        <w:t>http://www.icourses.cn/coursestatic/course_6784.html</w:t>
      </w:r>
    </w:p>
    <w:p w:rsidR="006753AB" w:rsidRDefault="007C371F" w:rsidP="006753AB">
      <w:pPr>
        <w:autoSpaceDE w:val="0"/>
        <w:autoSpaceDN w:val="0"/>
        <w:adjustRightInd w:val="0"/>
        <w:snapToGrid w:val="0"/>
        <w:spacing w:line="360" w:lineRule="auto"/>
        <w:ind w:left="480" w:hangingChars="200" w:hanging="480"/>
        <w:jc w:val="left"/>
        <w:rPr>
          <w:rFonts w:ascii="Times New Roman" w:eastAsia="仿宋" w:hAnsi="Times New Roman"/>
          <w:sz w:val="24"/>
          <w:szCs w:val="24"/>
          <w:lang w:val="zh-CN"/>
        </w:rPr>
      </w:pPr>
      <w:r>
        <w:rPr>
          <w:rFonts w:ascii="Times New Roman" w:eastAsia="仿宋" w:hAnsi="Times New Roman"/>
          <w:sz w:val="24"/>
          <w:szCs w:val="24"/>
        </w:rPr>
        <w:t xml:space="preserve">2. </w:t>
      </w:r>
      <w:r w:rsidR="006753AB" w:rsidRPr="006753AB">
        <w:rPr>
          <w:rFonts w:ascii="Times New Roman" w:eastAsia="仿宋" w:hAnsi="Times New Roman"/>
          <w:sz w:val="24"/>
          <w:szCs w:val="24"/>
          <w:lang w:val="zh-CN"/>
        </w:rPr>
        <w:t>中华人民共和国住房和城乡建设部</w:t>
      </w:r>
      <w:r w:rsidR="006753AB" w:rsidRPr="006753AB">
        <w:rPr>
          <w:rFonts w:ascii="Times New Roman" w:eastAsia="仿宋" w:hAnsi="Times New Roman"/>
          <w:sz w:val="24"/>
          <w:szCs w:val="24"/>
          <w:lang w:val="zh-CN"/>
        </w:rPr>
        <w:t>-</w:t>
      </w:r>
      <w:r w:rsidR="006753AB" w:rsidRPr="006753AB">
        <w:rPr>
          <w:rFonts w:ascii="Times New Roman" w:eastAsia="仿宋" w:hAnsi="Times New Roman"/>
          <w:sz w:val="24"/>
          <w:szCs w:val="24"/>
          <w:lang w:val="zh-CN"/>
        </w:rPr>
        <w:t>文件库</w:t>
      </w:r>
      <w:r w:rsidR="006753AB" w:rsidRPr="006753AB">
        <w:rPr>
          <w:rFonts w:ascii="Times New Roman" w:eastAsia="仿宋" w:hAnsi="Times New Roman"/>
          <w:sz w:val="24"/>
          <w:szCs w:val="24"/>
          <w:lang w:val="zh-CN"/>
        </w:rPr>
        <w:t xml:space="preserve"> </w:t>
      </w:r>
      <w:hyperlink r:id="rId15" w:history="1">
        <w:r w:rsidR="00033D34" w:rsidRPr="009B56B7">
          <w:rPr>
            <w:rStyle w:val="afd"/>
            <w:rFonts w:ascii="Times New Roman" w:eastAsia="仿宋" w:hAnsi="Times New Roman"/>
            <w:sz w:val="24"/>
            <w:szCs w:val="24"/>
            <w:lang w:val="zh-CN"/>
          </w:rPr>
          <w:t>https://www.mohurd.gov.cn/document/file</w:t>
        </w:r>
      </w:hyperlink>
    </w:p>
    <w:p w:rsidR="00033D34" w:rsidRPr="006753AB" w:rsidRDefault="00033D34" w:rsidP="006753AB">
      <w:pPr>
        <w:autoSpaceDE w:val="0"/>
        <w:autoSpaceDN w:val="0"/>
        <w:adjustRightInd w:val="0"/>
        <w:snapToGrid w:val="0"/>
        <w:spacing w:line="360" w:lineRule="auto"/>
        <w:ind w:left="480" w:hangingChars="200" w:hanging="480"/>
        <w:jc w:val="left"/>
        <w:rPr>
          <w:rFonts w:ascii="Times New Roman" w:eastAsia="仿宋" w:hAnsi="Times New Roman" w:hint="eastAsia"/>
          <w:sz w:val="24"/>
          <w:szCs w:val="24"/>
        </w:rPr>
      </w:pPr>
    </w:p>
    <w:p w:rsidR="006753AB" w:rsidRDefault="006753AB" w:rsidP="006753A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753AB">
        <w:rPr>
          <w:rFonts w:ascii="Times New Roman" w:eastAsia="仿宋" w:hAnsi="Times New Roman"/>
          <w:sz w:val="24"/>
          <w:szCs w:val="24"/>
          <w:lang w:val="zh-CN"/>
        </w:rPr>
        <w:t>执笔人：</w:t>
      </w:r>
      <w:r w:rsidRPr="006753AB">
        <w:rPr>
          <w:rFonts w:ascii="Times New Roman" w:eastAsia="仿宋" w:hAnsi="Times New Roman"/>
          <w:sz w:val="24"/>
          <w:szCs w:val="24"/>
        </w:rPr>
        <w:t>李建楠</w:t>
      </w:r>
    </w:p>
    <w:p w:rsidR="007C371F" w:rsidRPr="006753AB" w:rsidRDefault="007C371F" w:rsidP="006753A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参与人：马虹、余萍、陈良琼、王颂</w:t>
      </w:r>
    </w:p>
    <w:p w:rsidR="006753AB" w:rsidRPr="006753AB" w:rsidRDefault="006753AB" w:rsidP="006753A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753AB">
        <w:rPr>
          <w:rFonts w:ascii="Times New Roman" w:eastAsia="仿宋" w:hAnsi="Times New Roman"/>
          <w:sz w:val="24"/>
          <w:szCs w:val="24"/>
        </w:rPr>
        <w:t>课程负责人：李建楠</w:t>
      </w:r>
    </w:p>
    <w:p w:rsidR="006753AB" w:rsidRPr="006753AB" w:rsidRDefault="006753AB" w:rsidP="006753A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753AB">
        <w:rPr>
          <w:rFonts w:ascii="Times New Roman" w:eastAsia="仿宋" w:hAnsi="Times New Roman"/>
          <w:sz w:val="24"/>
          <w:szCs w:val="24"/>
        </w:rPr>
        <w:t>审核人（系</w:t>
      </w:r>
      <w:r w:rsidRPr="006753AB">
        <w:rPr>
          <w:rFonts w:ascii="Times New Roman" w:eastAsia="仿宋" w:hAnsi="Times New Roman"/>
          <w:sz w:val="24"/>
          <w:szCs w:val="24"/>
        </w:rPr>
        <w:t>/</w:t>
      </w:r>
      <w:r w:rsidRPr="006753AB">
        <w:rPr>
          <w:rFonts w:ascii="Times New Roman" w:eastAsia="仿宋" w:hAnsi="Times New Roman"/>
          <w:sz w:val="24"/>
          <w:szCs w:val="24"/>
        </w:rPr>
        <w:t>教研室主任）：袁晓辉</w:t>
      </w:r>
    </w:p>
    <w:p w:rsidR="006753AB" w:rsidRPr="006753AB" w:rsidRDefault="006753AB" w:rsidP="006753AB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753AB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6753AB">
        <w:rPr>
          <w:rFonts w:ascii="Times New Roman" w:eastAsia="仿宋" w:hAnsi="Times New Roman"/>
          <w:sz w:val="24"/>
          <w:szCs w:val="24"/>
        </w:rPr>
        <w:t>/</w:t>
      </w:r>
      <w:r w:rsidRPr="006753AB">
        <w:rPr>
          <w:rFonts w:ascii="Times New Roman" w:eastAsia="仿宋" w:hAnsi="Times New Roman"/>
          <w:sz w:val="24"/>
          <w:szCs w:val="24"/>
        </w:rPr>
        <w:t>副主任）：刘林超</w:t>
      </w:r>
    </w:p>
    <w:p w:rsidR="006753AB" w:rsidRPr="006753AB" w:rsidRDefault="00546785" w:rsidP="00546785">
      <w:pPr>
        <w:tabs>
          <w:tab w:val="left" w:pos="5040"/>
        </w:tabs>
        <w:spacing w:line="360" w:lineRule="auto"/>
        <w:ind w:left="1741" w:firstLineChars="850" w:firstLine="204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ab/>
      </w:r>
      <w:bookmarkStart w:id="4" w:name="_GoBack"/>
      <w:bookmarkEnd w:id="4"/>
      <w:r w:rsidR="006753AB" w:rsidRPr="006753AB">
        <w:rPr>
          <w:rFonts w:ascii="Times New Roman" w:eastAsia="仿宋" w:hAnsi="Times New Roman"/>
          <w:sz w:val="24"/>
          <w:szCs w:val="24"/>
        </w:rPr>
        <w:t xml:space="preserve">2019 </w:t>
      </w:r>
      <w:r w:rsidR="006753AB" w:rsidRPr="006753AB">
        <w:rPr>
          <w:rFonts w:ascii="Times New Roman" w:eastAsia="仿宋" w:hAnsi="Times New Roman"/>
          <w:sz w:val="24"/>
          <w:szCs w:val="24"/>
        </w:rPr>
        <w:t>年</w:t>
      </w:r>
      <w:r w:rsidR="006753AB" w:rsidRPr="006753AB">
        <w:rPr>
          <w:rFonts w:ascii="Times New Roman" w:eastAsia="仿宋" w:hAnsi="Times New Roman"/>
          <w:sz w:val="24"/>
          <w:szCs w:val="24"/>
        </w:rPr>
        <w:t xml:space="preserve"> 6 </w:t>
      </w:r>
      <w:r w:rsidR="006753AB" w:rsidRPr="006753AB">
        <w:rPr>
          <w:rFonts w:ascii="Times New Roman" w:eastAsia="仿宋" w:hAnsi="Times New Roman"/>
          <w:sz w:val="24"/>
          <w:szCs w:val="24"/>
        </w:rPr>
        <w:t>月</w:t>
      </w:r>
    </w:p>
    <w:p w:rsidR="000B530F" w:rsidRDefault="000B530F">
      <w:pPr>
        <w:ind w:firstLineChars="2000" w:firstLine="4200"/>
      </w:pPr>
    </w:p>
    <w:sectPr w:rsidR="000B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C30" w:rsidRDefault="00E54C30" w:rsidP="00B06D28">
      <w:r>
        <w:separator/>
      </w:r>
    </w:p>
  </w:endnote>
  <w:endnote w:type="continuationSeparator" w:id="0">
    <w:p w:rsidR="00E54C30" w:rsidRDefault="00E54C30" w:rsidP="00B0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C30" w:rsidRDefault="00E54C30" w:rsidP="00B06D28">
      <w:r>
        <w:separator/>
      </w:r>
    </w:p>
  </w:footnote>
  <w:footnote w:type="continuationSeparator" w:id="0">
    <w:p w:rsidR="00E54C30" w:rsidRDefault="00E54C30" w:rsidP="00B0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308E95"/>
    <w:multiLevelType w:val="singleLevel"/>
    <w:tmpl w:val="A8308E9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97FCEB0"/>
    <w:multiLevelType w:val="singleLevel"/>
    <w:tmpl w:val="C97FCE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D82A6A50"/>
    <w:multiLevelType w:val="singleLevel"/>
    <w:tmpl w:val="D82A6A5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8EC7290"/>
    <w:multiLevelType w:val="singleLevel"/>
    <w:tmpl w:val="D8EC72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DE4E916D"/>
    <w:multiLevelType w:val="singleLevel"/>
    <w:tmpl w:val="DE4E916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542ABD1"/>
    <w:multiLevelType w:val="singleLevel"/>
    <w:tmpl w:val="E542ABD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E58A1D12"/>
    <w:multiLevelType w:val="singleLevel"/>
    <w:tmpl w:val="E58A1D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EDD19F93"/>
    <w:multiLevelType w:val="singleLevel"/>
    <w:tmpl w:val="EDD19F9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F8801E"/>
    <w:multiLevelType w:val="singleLevel"/>
    <w:tmpl w:val="0BF880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11B564B"/>
    <w:multiLevelType w:val="singleLevel"/>
    <w:tmpl w:val="511B564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059FD5"/>
    <w:multiLevelType w:val="singleLevel"/>
    <w:tmpl w:val="68059FD5"/>
    <w:lvl w:ilvl="0">
      <w:start w:val="3"/>
      <w:numFmt w:val="decimal"/>
      <w:suff w:val="space"/>
      <w:lvlText w:val="%1."/>
      <w:lvlJc w:val="left"/>
    </w:lvl>
  </w:abstractNum>
  <w:abstractNum w:abstractNumId="11" w15:restartNumberingAfterBreak="0">
    <w:nsid w:val="728528CE"/>
    <w:multiLevelType w:val="multilevel"/>
    <w:tmpl w:val="728528CE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9"/>
    <w:rsid w:val="00013845"/>
    <w:rsid w:val="00030D4E"/>
    <w:rsid w:val="0003153A"/>
    <w:rsid w:val="00033D34"/>
    <w:rsid w:val="00061BDB"/>
    <w:rsid w:val="00097BC9"/>
    <w:rsid w:val="000B530F"/>
    <w:rsid w:val="000E006F"/>
    <w:rsid w:val="000E4F6C"/>
    <w:rsid w:val="001014B2"/>
    <w:rsid w:val="00102B41"/>
    <w:rsid w:val="00125EC3"/>
    <w:rsid w:val="001354EF"/>
    <w:rsid w:val="00153AA3"/>
    <w:rsid w:val="0015669E"/>
    <w:rsid w:val="00156DDC"/>
    <w:rsid w:val="0015792E"/>
    <w:rsid w:val="00165F4A"/>
    <w:rsid w:val="00171BC1"/>
    <w:rsid w:val="00180F37"/>
    <w:rsid w:val="001818D2"/>
    <w:rsid w:val="001A0205"/>
    <w:rsid w:val="00201E56"/>
    <w:rsid w:val="0021794C"/>
    <w:rsid w:val="0023661F"/>
    <w:rsid w:val="002461A7"/>
    <w:rsid w:val="0026529B"/>
    <w:rsid w:val="00265C89"/>
    <w:rsid w:val="002A04AF"/>
    <w:rsid w:val="0032155B"/>
    <w:rsid w:val="00324CFB"/>
    <w:rsid w:val="00345752"/>
    <w:rsid w:val="00371553"/>
    <w:rsid w:val="00377318"/>
    <w:rsid w:val="003B0D4B"/>
    <w:rsid w:val="003B32CD"/>
    <w:rsid w:val="003F608A"/>
    <w:rsid w:val="00413666"/>
    <w:rsid w:val="00415E6B"/>
    <w:rsid w:val="0043336A"/>
    <w:rsid w:val="00437EB2"/>
    <w:rsid w:val="00492152"/>
    <w:rsid w:val="004F2D6B"/>
    <w:rsid w:val="005316B8"/>
    <w:rsid w:val="00546785"/>
    <w:rsid w:val="00550BA1"/>
    <w:rsid w:val="00562367"/>
    <w:rsid w:val="00577B87"/>
    <w:rsid w:val="005E32B9"/>
    <w:rsid w:val="005F089B"/>
    <w:rsid w:val="006753AB"/>
    <w:rsid w:val="00696F68"/>
    <w:rsid w:val="006C0B2A"/>
    <w:rsid w:val="006E5F5D"/>
    <w:rsid w:val="007131E5"/>
    <w:rsid w:val="00743E01"/>
    <w:rsid w:val="00751F52"/>
    <w:rsid w:val="00752C3B"/>
    <w:rsid w:val="0079566E"/>
    <w:rsid w:val="007C371F"/>
    <w:rsid w:val="007F476E"/>
    <w:rsid w:val="00832228"/>
    <w:rsid w:val="00865E25"/>
    <w:rsid w:val="00877CAD"/>
    <w:rsid w:val="00890A3E"/>
    <w:rsid w:val="008A2395"/>
    <w:rsid w:val="008D00F7"/>
    <w:rsid w:val="008E197A"/>
    <w:rsid w:val="008E414B"/>
    <w:rsid w:val="008F14E5"/>
    <w:rsid w:val="00907114"/>
    <w:rsid w:val="009244F6"/>
    <w:rsid w:val="00A20947"/>
    <w:rsid w:val="00A62A82"/>
    <w:rsid w:val="00A676CB"/>
    <w:rsid w:val="00A73CB3"/>
    <w:rsid w:val="00A859CC"/>
    <w:rsid w:val="00AA0A4C"/>
    <w:rsid w:val="00AA5942"/>
    <w:rsid w:val="00AB23D6"/>
    <w:rsid w:val="00AB7B01"/>
    <w:rsid w:val="00AF0ACE"/>
    <w:rsid w:val="00B06D28"/>
    <w:rsid w:val="00B35A9D"/>
    <w:rsid w:val="00B52DF1"/>
    <w:rsid w:val="00B60F86"/>
    <w:rsid w:val="00B70DC9"/>
    <w:rsid w:val="00BA3198"/>
    <w:rsid w:val="00BE4182"/>
    <w:rsid w:val="00BF2911"/>
    <w:rsid w:val="00C11789"/>
    <w:rsid w:val="00C1419C"/>
    <w:rsid w:val="00C14694"/>
    <w:rsid w:val="00C222FE"/>
    <w:rsid w:val="00C42F58"/>
    <w:rsid w:val="00C73759"/>
    <w:rsid w:val="00C825BA"/>
    <w:rsid w:val="00CB7C16"/>
    <w:rsid w:val="00CD5759"/>
    <w:rsid w:val="00D24533"/>
    <w:rsid w:val="00D5285C"/>
    <w:rsid w:val="00D565C2"/>
    <w:rsid w:val="00DE14F0"/>
    <w:rsid w:val="00DF1E3A"/>
    <w:rsid w:val="00E128D3"/>
    <w:rsid w:val="00E434B0"/>
    <w:rsid w:val="00E54C30"/>
    <w:rsid w:val="00E55AFC"/>
    <w:rsid w:val="00E6013C"/>
    <w:rsid w:val="00E67088"/>
    <w:rsid w:val="00E674D8"/>
    <w:rsid w:val="00EB3A71"/>
    <w:rsid w:val="00EE2499"/>
    <w:rsid w:val="00F56D44"/>
    <w:rsid w:val="00F64B6F"/>
    <w:rsid w:val="00F84F5E"/>
    <w:rsid w:val="00FB1BF2"/>
    <w:rsid w:val="00FC584B"/>
    <w:rsid w:val="00FF33ED"/>
    <w:rsid w:val="00FF38CD"/>
    <w:rsid w:val="2C444E7D"/>
    <w:rsid w:val="70D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C5D9"/>
  <w15:docId w15:val="{504967A1-25AC-44BB-A303-90F2834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DF1E3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2"/>
    <w:next w:val="a2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2"/>
    <w:next w:val="a2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3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3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3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3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3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3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3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3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3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2"/>
    <w:next w:val="a2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3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2"/>
    <w:uiPriority w:val="34"/>
    <w:qFormat/>
    <w:pPr>
      <w:ind w:left="720"/>
      <w:contextualSpacing/>
    </w:pPr>
  </w:style>
  <w:style w:type="character" w:customStyle="1" w:styleId="11">
    <w:name w:val="明显强调1"/>
    <w:basedOn w:val="a3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2"/>
    <w:next w:val="a2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3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3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正文1"/>
    <w:basedOn w:val="a2"/>
    <w:link w:val="14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character" w:customStyle="1" w:styleId="14">
    <w:name w:val="正文1 字符"/>
    <w:link w:val="13"/>
    <w:qFormat/>
    <w:rPr>
      <w:rFonts w:ascii="Times New Roman" w:eastAsia="仿宋" w:hAnsi="Times New Roman" w:cs="Times New Roman"/>
      <w:iCs/>
      <w:sz w:val="24"/>
      <w14:ligatures w14:val="none"/>
    </w:rPr>
  </w:style>
  <w:style w:type="paragraph" w:customStyle="1" w:styleId="af3">
    <w:name w:val="表内容"/>
    <w:basedOn w:val="a2"/>
    <w:link w:val="af4"/>
    <w:qFormat/>
    <w:rPr>
      <w:rFonts w:ascii="Times" w:eastAsia="楷体" w:hAnsi="Times"/>
      <w:bCs/>
      <w:sz w:val="18"/>
      <w:szCs w:val="18"/>
    </w:rPr>
  </w:style>
  <w:style w:type="character" w:customStyle="1" w:styleId="af4">
    <w:name w:val="表内容 字符"/>
    <w:link w:val="af3"/>
    <w:qFormat/>
    <w:rPr>
      <w:rFonts w:ascii="Times" w:eastAsia="楷体" w:hAnsi="Times" w:cs="Times New Roman"/>
      <w:bCs/>
      <w:sz w:val="18"/>
      <w:szCs w:val="18"/>
      <w14:ligatures w14:val="none"/>
    </w:rPr>
  </w:style>
  <w:style w:type="paragraph" w:customStyle="1" w:styleId="af5">
    <w:name w:val="表标题"/>
    <w:basedOn w:val="af3"/>
    <w:next w:val="af3"/>
    <w:link w:val="af6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6">
    <w:name w:val="表标题 字符"/>
    <w:link w:val="af5"/>
    <w:rPr>
      <w:rFonts w:ascii="Times" w:eastAsia="楷体" w:hAnsi="Times" w:cs="Times New Roman"/>
      <w:b/>
      <w:bCs/>
      <w:color w:val="000000"/>
      <w:sz w:val="21"/>
      <w:szCs w:val="18"/>
      <w14:ligatures w14:val="none"/>
    </w:rPr>
  </w:style>
  <w:style w:type="paragraph" w:customStyle="1" w:styleId="a">
    <w:name w:val="课程标题"/>
    <w:basedOn w:val="ac"/>
    <w:next w:val="a2"/>
    <w:link w:val="af7"/>
    <w:qFormat/>
    <w:pPr>
      <w:widowControl/>
      <w:numPr>
        <w:numId w:val="1"/>
      </w:numPr>
      <w:spacing w:afterLines="100" w:after="100" w:line="360" w:lineRule="auto"/>
      <w:contextualSpacing w:val="0"/>
      <w:outlineLvl w:val="0"/>
    </w:pPr>
    <w:rPr>
      <w:rFonts w:ascii="Times" w:eastAsia="黑体" w:hAnsi="Times" w:cs="Times New Roman"/>
      <w:spacing w:val="0"/>
      <w:kern w:val="44"/>
      <w:sz w:val="32"/>
      <w:szCs w:val="32"/>
    </w:rPr>
  </w:style>
  <w:style w:type="character" w:customStyle="1" w:styleId="af7">
    <w:name w:val="课程标题 字符"/>
    <w:basedOn w:val="a3"/>
    <w:link w:val="a"/>
    <w:qFormat/>
    <w:rPr>
      <w:rFonts w:ascii="Times" w:eastAsia="黑体" w:hAnsi="Times" w:cs="Times New Roman"/>
      <w:kern w:val="44"/>
      <w:sz w:val="32"/>
      <w:szCs w:val="32"/>
      <w14:ligatures w14:val="none"/>
    </w:rPr>
  </w:style>
  <w:style w:type="paragraph" w:customStyle="1" w:styleId="a0">
    <w:name w:val="标题一"/>
    <w:basedOn w:val="1"/>
    <w:link w:val="af8"/>
    <w:qFormat/>
    <w:pPr>
      <w:numPr>
        <w:ilvl w:val="1"/>
        <w:numId w:val="1"/>
      </w:numPr>
      <w:spacing w:beforeLines="100" w:before="100" w:afterLines="50" w:after="50"/>
      <w:outlineLvl w:val="1"/>
    </w:pPr>
    <w:rPr>
      <w:rFonts w:ascii="Times" w:eastAsia="黑体" w:hAnsi="Times" w:cs="Times New Roman"/>
      <w:b/>
      <w:bCs/>
      <w:color w:val="auto"/>
      <w:kern w:val="44"/>
      <w:sz w:val="24"/>
      <w:szCs w:val="44"/>
    </w:rPr>
  </w:style>
  <w:style w:type="character" w:customStyle="1" w:styleId="af8">
    <w:name w:val="标题一 字符"/>
    <w:basedOn w:val="a3"/>
    <w:link w:val="a0"/>
    <w:qFormat/>
    <w:rPr>
      <w:rFonts w:ascii="Times" w:eastAsia="黑体" w:hAnsi="Times" w:cs="Times New Roman"/>
      <w:b/>
      <w:bCs/>
      <w:kern w:val="44"/>
      <w:sz w:val="24"/>
      <w:szCs w:val="44"/>
      <w14:ligatures w14:val="none"/>
    </w:rPr>
  </w:style>
  <w:style w:type="paragraph" w:customStyle="1" w:styleId="a1">
    <w:name w:val="标题二"/>
    <w:basedOn w:val="2"/>
    <w:link w:val="af9"/>
    <w:qFormat/>
    <w:pPr>
      <w:numPr>
        <w:ilvl w:val="2"/>
        <w:numId w:val="1"/>
      </w:numPr>
      <w:spacing w:beforeLines="50" w:before="50" w:afterLines="50" w:after="50"/>
      <w:outlineLvl w:val="2"/>
    </w:pPr>
    <w:rPr>
      <w:rFonts w:ascii="Times" w:eastAsia="仿宋" w:hAnsi="Times" w:cs="Times New Roman"/>
      <w:b/>
      <w:color w:val="auto"/>
      <w:kern w:val="44"/>
      <w:sz w:val="24"/>
      <w:szCs w:val="32"/>
    </w:rPr>
  </w:style>
  <w:style w:type="character" w:customStyle="1" w:styleId="af9">
    <w:name w:val="标题二 字符"/>
    <w:basedOn w:val="a3"/>
    <w:link w:val="a1"/>
    <w:qFormat/>
    <w:rPr>
      <w:rFonts w:ascii="Times" w:eastAsia="仿宋" w:hAnsi="Times" w:cs="Times New Roman"/>
      <w:b/>
      <w:kern w:val="44"/>
      <w:sz w:val="24"/>
      <w:szCs w:val="32"/>
      <w14:ligatures w14:val="none"/>
    </w:rPr>
  </w:style>
  <w:style w:type="paragraph" w:customStyle="1" w:styleId="afa">
    <w:name w:val="课程描述"/>
    <w:basedOn w:val="13"/>
    <w:link w:val="afb"/>
    <w:qFormat/>
    <w:pPr>
      <w:spacing w:line="300" w:lineRule="auto"/>
    </w:pPr>
  </w:style>
  <w:style w:type="character" w:customStyle="1" w:styleId="afb">
    <w:name w:val="课程描述 字符"/>
    <w:basedOn w:val="14"/>
    <w:link w:val="afa"/>
    <w:qFormat/>
    <w:rPr>
      <w:rFonts w:ascii="Times New Roman" w:eastAsia="仿宋" w:hAnsi="Times New Roman" w:cs="Times New Roman"/>
      <w:iCs/>
      <w:sz w:val="24"/>
      <w14:ligatures w14:val="none"/>
    </w:rPr>
  </w:style>
  <w:style w:type="character" w:customStyle="1" w:styleId="a9">
    <w:name w:val="页眉 字符"/>
    <w:basedOn w:val="a3"/>
    <w:link w:val="a8"/>
    <w:uiPriority w:val="99"/>
    <w:rPr>
      <w:rFonts w:ascii="等线" w:eastAsia="等线" w:hAnsi="等线" w:cs="Times New Roman"/>
      <w:kern w:val="2"/>
      <w:sz w:val="18"/>
      <w:szCs w:val="18"/>
    </w:rPr>
  </w:style>
  <w:style w:type="character" w:customStyle="1" w:styleId="a7">
    <w:name w:val="页脚 字符"/>
    <w:basedOn w:val="a3"/>
    <w:link w:val="a6"/>
    <w:uiPriority w:val="99"/>
    <w:rPr>
      <w:rFonts w:ascii="等线" w:eastAsia="等线" w:hAnsi="等线" w:cs="Times New Roman"/>
      <w:kern w:val="2"/>
      <w:sz w:val="18"/>
      <w:szCs w:val="18"/>
    </w:rPr>
  </w:style>
  <w:style w:type="table" w:styleId="afc">
    <w:name w:val="Table Grid"/>
    <w:basedOn w:val="a4"/>
    <w:uiPriority w:val="39"/>
    <w:rsid w:val="00C1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3"/>
    <w:uiPriority w:val="99"/>
    <w:unhideWhenUsed/>
    <w:rsid w:val="00033D34"/>
    <w:rPr>
      <w:color w:val="0563C1" w:themeColor="hyperlink"/>
      <w:u w:val="single"/>
    </w:rPr>
  </w:style>
  <w:style w:type="character" w:styleId="afe">
    <w:name w:val="Unresolved Mention"/>
    <w:basedOn w:val="a3"/>
    <w:uiPriority w:val="99"/>
    <w:semiHidden/>
    <w:unhideWhenUsed/>
    <w:rsid w:val="0003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s://www.mohurd.gov.cn/document/file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Chuang</dc:creator>
  <cp:lastModifiedBy>苌宽</cp:lastModifiedBy>
  <cp:revision>17</cp:revision>
  <dcterms:created xsi:type="dcterms:W3CDTF">2026-01-19T06:44:00Z</dcterms:created>
  <dcterms:modified xsi:type="dcterms:W3CDTF">2026-06-29T02:20:00Z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eyJoZGlkIjoiMDg2ODc2OGIyMTlmOTFlYjQxOTIwNWY5MTk1NjFlNjQiLCJ1c2VySWQiOiIyNTE5Mzg5OTMifQ==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75D692933DF24020AAE2D879ECF41A32_12</vt:lpwstr>
  </property>
</Properties>
</file>